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3C4A73" w14:textId="77777777" w:rsidR="00BD6321" w:rsidRPr="00AE4FCC" w:rsidRDefault="00BD6321" w:rsidP="00557414">
      <w:pPr>
        <w:pStyle w:val="QuickFormat1"/>
        <w:jc w:val="center"/>
        <w:rPr>
          <w:sz w:val="28"/>
          <w:szCs w:val="28"/>
        </w:rPr>
      </w:pPr>
      <w:r w:rsidRPr="00AE4FCC">
        <w:rPr>
          <w:sz w:val="28"/>
          <w:szCs w:val="28"/>
        </w:rPr>
        <w:fldChar w:fldCharType="begin"/>
      </w:r>
      <w:r w:rsidRPr="00AE4FCC">
        <w:rPr>
          <w:sz w:val="28"/>
          <w:szCs w:val="28"/>
        </w:rPr>
        <w:instrText xml:space="preserve"> SEQ CHAPTER \h \r 1</w:instrText>
      </w:r>
      <w:r w:rsidRPr="00AE4FCC">
        <w:rPr>
          <w:sz w:val="28"/>
          <w:szCs w:val="28"/>
        </w:rPr>
        <w:fldChar w:fldCharType="end"/>
      </w:r>
      <w:r w:rsidRPr="00AE4FCC">
        <w:rPr>
          <w:b/>
          <w:sz w:val="28"/>
          <w:szCs w:val="28"/>
        </w:rPr>
        <w:t>CURRICULUM</w:t>
      </w:r>
      <w:r w:rsidR="008F6761" w:rsidRPr="00AE4FCC">
        <w:rPr>
          <w:b/>
          <w:sz w:val="28"/>
          <w:szCs w:val="28"/>
        </w:rPr>
        <w:t xml:space="preserve"> </w:t>
      </w:r>
      <w:r w:rsidRPr="00AE4FCC">
        <w:rPr>
          <w:b/>
          <w:sz w:val="28"/>
          <w:szCs w:val="28"/>
        </w:rPr>
        <w:t>VITAE</w:t>
      </w:r>
      <w:r w:rsidR="00557414" w:rsidRPr="00AE4FCC">
        <w:rPr>
          <w:b/>
          <w:sz w:val="28"/>
          <w:szCs w:val="28"/>
        </w:rPr>
        <w:t xml:space="preserve"> </w:t>
      </w:r>
      <w:r w:rsidR="00557414" w:rsidRPr="00AE4FCC">
        <w:rPr>
          <w:b/>
          <w:caps/>
          <w:sz w:val="28"/>
          <w:szCs w:val="28"/>
        </w:rPr>
        <w:t>of</w:t>
      </w:r>
      <w:r w:rsidR="00557414" w:rsidRPr="00AE4FCC">
        <w:rPr>
          <w:b/>
          <w:sz w:val="28"/>
          <w:szCs w:val="28"/>
        </w:rPr>
        <w:t xml:space="preserve"> </w:t>
      </w:r>
      <w:r w:rsidRPr="00AE4FCC">
        <w:rPr>
          <w:b/>
          <w:sz w:val="28"/>
          <w:szCs w:val="28"/>
        </w:rPr>
        <w:t>J. MORGAN KOUSSER</w:t>
      </w:r>
    </w:p>
    <w:p w14:paraId="3800D6A6" w14:textId="77777777" w:rsidR="00BD6321" w:rsidRPr="00AE4FCC" w:rsidRDefault="00BD6321">
      <w:pPr>
        <w:widowControl w:val="0"/>
        <w:rPr>
          <w:color w:val="000000"/>
          <w:sz w:val="28"/>
          <w:szCs w:val="28"/>
        </w:rPr>
      </w:pPr>
    </w:p>
    <w:p w14:paraId="133772FA" w14:textId="77777777" w:rsidR="00BD6321" w:rsidRPr="00AE4FCC" w:rsidRDefault="00BD6321" w:rsidP="00D65162">
      <w:pPr>
        <w:widowControl w:val="0"/>
        <w:jc w:val="center"/>
        <w:rPr>
          <w:color w:val="000000"/>
          <w:sz w:val="28"/>
          <w:szCs w:val="28"/>
        </w:rPr>
      </w:pPr>
      <w:r w:rsidRPr="00AE4FCC">
        <w:rPr>
          <w:b/>
          <w:color w:val="000000"/>
          <w:sz w:val="28"/>
          <w:szCs w:val="28"/>
        </w:rPr>
        <w:t>GENERAL INFORMATION</w:t>
      </w:r>
    </w:p>
    <w:p w14:paraId="51429E09" w14:textId="77777777" w:rsidR="00BD6321" w:rsidRPr="00AE4FCC" w:rsidRDefault="00BD6321">
      <w:pPr>
        <w:widowControl w:val="0"/>
        <w:rPr>
          <w:color w:val="000000"/>
          <w:szCs w:val="24"/>
        </w:rPr>
      </w:pPr>
    </w:p>
    <w:p w14:paraId="03B5A879" w14:textId="77777777" w:rsidR="00BD6321" w:rsidRPr="00AE4FCC" w:rsidRDefault="00BD6321">
      <w:pPr>
        <w:widowControl w:val="0"/>
        <w:tabs>
          <w:tab w:val="left" w:pos="-1241"/>
          <w:tab w:val="left" w:pos="-720"/>
          <w:tab w:val="left" w:pos="0"/>
          <w:tab w:val="left" w:pos="720"/>
          <w:tab w:val="left" w:pos="144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Address:</w:t>
      </w:r>
      <w:r w:rsidRPr="00AE4FCC">
        <w:rPr>
          <w:color w:val="000000"/>
          <w:szCs w:val="24"/>
        </w:rPr>
        <w:tab/>
      </w:r>
      <w:r w:rsidRPr="00AE4FCC">
        <w:rPr>
          <w:color w:val="000000"/>
          <w:szCs w:val="24"/>
        </w:rPr>
        <w:tab/>
        <w:t>1818 North Craig Avenue</w:t>
      </w:r>
    </w:p>
    <w:p w14:paraId="6B0CDE54" w14:textId="77777777" w:rsidR="00BD6321" w:rsidRPr="00AE4FCC" w:rsidRDefault="00BD6321">
      <w:pPr>
        <w:widowControl w:val="0"/>
        <w:tabs>
          <w:tab w:val="left" w:pos="-1241"/>
          <w:tab w:val="left" w:pos="-720"/>
          <w:tab w:val="left" w:pos="0"/>
          <w:tab w:val="left" w:pos="720"/>
          <w:tab w:val="left" w:pos="144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ab/>
      </w:r>
      <w:r w:rsidRPr="00AE4FCC">
        <w:rPr>
          <w:color w:val="000000"/>
          <w:szCs w:val="24"/>
        </w:rPr>
        <w:tab/>
      </w:r>
      <w:r w:rsidRPr="00AE4FCC">
        <w:rPr>
          <w:color w:val="000000"/>
          <w:szCs w:val="24"/>
        </w:rPr>
        <w:tab/>
        <w:t>Altadena, California 91101</w:t>
      </w:r>
    </w:p>
    <w:p w14:paraId="67BA3B71" w14:textId="77777777" w:rsidR="00BD6321" w:rsidRPr="00AE4FCC" w:rsidRDefault="00BD6321">
      <w:pPr>
        <w:widowControl w:val="0"/>
        <w:tabs>
          <w:tab w:val="left" w:pos="-1241"/>
          <w:tab w:val="left" w:pos="-720"/>
          <w:tab w:val="left" w:pos="0"/>
          <w:tab w:val="left" w:pos="720"/>
          <w:tab w:val="left" w:pos="144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Telephone:</w:t>
      </w:r>
      <w:r w:rsidR="008F6761" w:rsidRPr="00AE4FCC">
        <w:rPr>
          <w:color w:val="000000"/>
          <w:szCs w:val="24"/>
        </w:rPr>
        <w:t xml:space="preserve"> </w:t>
      </w:r>
      <w:r w:rsidRPr="00AE4FCC">
        <w:rPr>
          <w:color w:val="000000"/>
          <w:szCs w:val="24"/>
        </w:rPr>
        <w:tab/>
      </w:r>
      <w:r w:rsidRPr="00AE4FCC">
        <w:rPr>
          <w:color w:val="000000"/>
          <w:szCs w:val="24"/>
        </w:rPr>
        <w:tab/>
        <w:t>(626) 395-4080 (O); (626) 794-5840 (H); (626) 405-9841 (Fax)</w:t>
      </w:r>
    </w:p>
    <w:p w14:paraId="6E8752DD" w14:textId="77777777" w:rsidR="00BD6321" w:rsidRPr="00AE4FCC" w:rsidRDefault="00BD6321">
      <w:pPr>
        <w:widowControl w:val="0"/>
        <w:tabs>
          <w:tab w:val="left" w:pos="-1241"/>
          <w:tab w:val="left" w:pos="-720"/>
          <w:tab w:val="left" w:pos="0"/>
          <w:tab w:val="left" w:pos="720"/>
          <w:tab w:val="left" w:pos="144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520" w:hanging="2520"/>
        <w:rPr>
          <w:color w:val="000000"/>
          <w:szCs w:val="24"/>
        </w:rPr>
      </w:pPr>
      <w:r w:rsidRPr="00AE4FCC">
        <w:rPr>
          <w:color w:val="000000"/>
          <w:szCs w:val="24"/>
        </w:rPr>
        <w:t>E-Mail:</w:t>
      </w:r>
      <w:r w:rsidRPr="00AE4FCC">
        <w:rPr>
          <w:color w:val="000000"/>
          <w:szCs w:val="24"/>
        </w:rPr>
        <w:tab/>
      </w:r>
      <w:r w:rsidRPr="00AE4FCC">
        <w:rPr>
          <w:color w:val="000000"/>
          <w:szCs w:val="24"/>
        </w:rPr>
        <w:tab/>
      </w:r>
      <w:hyperlink r:id="rId10" w:history="1">
        <w:r w:rsidRPr="00AE4FCC">
          <w:rPr>
            <w:color w:val="0000FF"/>
            <w:szCs w:val="24"/>
            <w:u w:val="single"/>
          </w:rPr>
          <w:t>Kousser@HSS.Caltech.Edu</w:t>
        </w:r>
      </w:hyperlink>
    </w:p>
    <w:p w14:paraId="5882C8F1" w14:textId="77777777" w:rsidR="00BD6321" w:rsidRPr="00AE4FCC" w:rsidRDefault="00BD6321">
      <w:pPr>
        <w:widowControl w:val="0"/>
        <w:tabs>
          <w:tab w:val="left" w:pos="-1241"/>
          <w:tab w:val="left" w:pos="-720"/>
          <w:tab w:val="left" w:pos="0"/>
          <w:tab w:val="left" w:pos="720"/>
          <w:tab w:val="left" w:pos="144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520" w:hanging="2520"/>
        <w:rPr>
          <w:color w:val="000000"/>
          <w:szCs w:val="24"/>
        </w:rPr>
      </w:pPr>
      <w:r w:rsidRPr="00AE4FCC">
        <w:rPr>
          <w:color w:val="000000"/>
          <w:szCs w:val="24"/>
        </w:rPr>
        <w:t>Website:</w:t>
      </w:r>
      <w:r w:rsidRPr="00AE4FCC">
        <w:rPr>
          <w:color w:val="000000"/>
          <w:szCs w:val="24"/>
        </w:rPr>
        <w:tab/>
      </w:r>
      <w:r w:rsidRPr="00AE4FCC">
        <w:rPr>
          <w:color w:val="000000"/>
          <w:szCs w:val="24"/>
        </w:rPr>
        <w:tab/>
        <w:t>hss.caltech.edu/~kousser/Kousser.html</w:t>
      </w:r>
    </w:p>
    <w:p w14:paraId="2C63ABAE" w14:textId="77777777" w:rsidR="00BD6321" w:rsidRPr="00AE4FCC" w:rsidRDefault="00BD6321">
      <w:pPr>
        <w:widowControl w:val="0"/>
        <w:tabs>
          <w:tab w:val="left" w:pos="-1241"/>
          <w:tab w:val="left" w:pos="-720"/>
          <w:tab w:val="left" w:pos="0"/>
          <w:tab w:val="left" w:pos="720"/>
          <w:tab w:val="left" w:pos="144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Place of Birth:</w:t>
      </w:r>
      <w:r w:rsidR="008F6761" w:rsidRPr="00AE4FCC">
        <w:rPr>
          <w:color w:val="000000"/>
          <w:szCs w:val="24"/>
        </w:rPr>
        <w:t xml:space="preserve"> </w:t>
      </w:r>
      <w:r w:rsidRPr="00AE4FCC">
        <w:rPr>
          <w:color w:val="000000"/>
          <w:szCs w:val="24"/>
        </w:rPr>
        <w:tab/>
        <w:t>Lewisburg, Tennessee</w:t>
      </w:r>
    </w:p>
    <w:p w14:paraId="06BDFBCB"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ab/>
      </w:r>
    </w:p>
    <w:p w14:paraId="41715C75" w14:textId="77777777" w:rsidR="00BD6321" w:rsidRPr="00AE4FCC" w:rsidRDefault="00BD6321" w:rsidP="00D65162">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color w:val="000000"/>
          <w:szCs w:val="24"/>
        </w:rPr>
      </w:pPr>
      <w:r w:rsidRPr="00AE4FCC">
        <w:rPr>
          <w:b/>
          <w:color w:val="000000"/>
          <w:szCs w:val="24"/>
        </w:rPr>
        <w:t>EDUCATION AND HONORS</w:t>
      </w:r>
    </w:p>
    <w:p w14:paraId="34F4D9CF"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3054A3DB"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Ph.D., Yale University, 1971, History</w:t>
      </w:r>
    </w:p>
    <w:p w14:paraId="3A1ED13D"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M.Phil., Yale University, 1968, History</w:t>
      </w:r>
    </w:p>
    <w:p w14:paraId="4B4DF257"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M.A., Oxford University, 1984 (honorary)</w:t>
      </w:r>
    </w:p>
    <w:p w14:paraId="0856E400"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A.B., Princeton University, 1965 (</w:t>
      </w:r>
      <w:r w:rsidRPr="00AE4FCC">
        <w:rPr>
          <w:i/>
          <w:color w:val="000000"/>
          <w:szCs w:val="24"/>
        </w:rPr>
        <w:t>summa cum laude</w:t>
      </w:r>
      <w:r w:rsidRPr="00AE4FCC">
        <w:rPr>
          <w:color w:val="000000"/>
          <w:szCs w:val="24"/>
        </w:rPr>
        <w:t>, Phi Beta Kappa), History</w:t>
      </w:r>
    </w:p>
    <w:p w14:paraId="0875992A"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Woodrow Wilson Fellow, 1965-66</w:t>
      </w:r>
    </w:p>
    <w:p w14:paraId="22818679"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5E109BDC" w14:textId="77777777" w:rsidR="00BD6321" w:rsidRPr="00AE4FCC" w:rsidRDefault="00BD6321" w:rsidP="00D65162">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color w:val="000000"/>
          <w:szCs w:val="24"/>
        </w:rPr>
      </w:pPr>
      <w:r w:rsidRPr="00AE4FCC">
        <w:rPr>
          <w:b/>
          <w:color w:val="000000"/>
          <w:szCs w:val="24"/>
        </w:rPr>
        <w:t>EMPLOYMENT</w:t>
      </w:r>
    </w:p>
    <w:p w14:paraId="3E3820D6"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0A508A63" w14:textId="553578E7" w:rsidR="00BD6321"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b/>
          <w:color w:val="000000"/>
          <w:szCs w:val="24"/>
        </w:rPr>
      </w:pPr>
      <w:r w:rsidRPr="00AE4FCC">
        <w:rPr>
          <w:b/>
          <w:color w:val="000000"/>
          <w:szCs w:val="24"/>
        </w:rPr>
        <w:t>California Institute of Technology</w:t>
      </w:r>
    </w:p>
    <w:p w14:paraId="7F6C2C14" w14:textId="33582BED" w:rsidR="00F162F6" w:rsidRPr="00AE4FCC" w:rsidRDefault="008B7A2E">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Pr>
          <w:color w:val="000000"/>
          <w:szCs w:val="24"/>
        </w:rPr>
        <w:tab/>
        <w:t>Professor of History and Social Science, 2020 - present</w:t>
      </w:r>
    </w:p>
    <w:p w14:paraId="4ED9A6DF" w14:textId="7D1A3821"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ab/>
        <w:t>Professor of History and Social Science, 1980-</w:t>
      </w:r>
      <w:r w:rsidR="00F162F6">
        <w:rPr>
          <w:color w:val="000000"/>
          <w:szCs w:val="24"/>
        </w:rPr>
        <w:t>2020</w:t>
      </w:r>
    </w:p>
    <w:p w14:paraId="0EE3879D"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ab/>
        <w:t>Professor of History, 1979-80</w:t>
      </w:r>
    </w:p>
    <w:p w14:paraId="49D65A44"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ab/>
        <w:t>Associate Professor of History, 1974-79</w:t>
      </w:r>
    </w:p>
    <w:p w14:paraId="3F51C070"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ab/>
        <w:t>Assistant Professor of History, 1971-74</w:t>
      </w:r>
    </w:p>
    <w:p w14:paraId="3E506B72"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ab/>
        <w:t>Instructor in History, 1969-71</w:t>
      </w:r>
    </w:p>
    <w:p w14:paraId="2E36B754"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0423CCDD"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b/>
          <w:color w:val="000000"/>
          <w:szCs w:val="24"/>
        </w:rPr>
        <w:t>Visiting and Adjunct Appointments</w:t>
      </w:r>
    </w:p>
    <w:p w14:paraId="6C76E85D"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ab/>
        <w:t>University of Michigan</w:t>
      </w:r>
    </w:p>
    <w:p w14:paraId="28BD2CD3"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ab/>
      </w:r>
      <w:r w:rsidRPr="00AE4FCC">
        <w:rPr>
          <w:color w:val="000000"/>
          <w:szCs w:val="24"/>
        </w:rPr>
        <w:tab/>
        <w:t>Visiting Instructor, summer, 1980</w:t>
      </w:r>
    </w:p>
    <w:p w14:paraId="7C6D69FF"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ab/>
        <w:t>Harvard University</w:t>
      </w:r>
    </w:p>
    <w:p w14:paraId="0C88698E"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ab/>
      </w:r>
      <w:r w:rsidRPr="00AE4FCC">
        <w:rPr>
          <w:color w:val="000000"/>
          <w:szCs w:val="24"/>
        </w:rPr>
        <w:tab/>
        <w:t>Visiting Professor, fall, 1981</w:t>
      </w:r>
    </w:p>
    <w:p w14:paraId="68462142"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ab/>
        <w:t>Oxford University</w:t>
      </w:r>
    </w:p>
    <w:p w14:paraId="6576D56A"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ab/>
      </w:r>
      <w:r w:rsidRPr="00AE4FCC">
        <w:rPr>
          <w:color w:val="000000"/>
          <w:szCs w:val="24"/>
        </w:rPr>
        <w:tab/>
        <w:t>Harold Vyvyan Harmsworth Professor of American History, 1984-85</w:t>
      </w:r>
    </w:p>
    <w:p w14:paraId="1AE627B1"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ab/>
        <w:t>Claremont Graduate School</w:t>
      </w:r>
    </w:p>
    <w:p w14:paraId="0A8D5F29"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ab/>
      </w:r>
      <w:r w:rsidRPr="00AE4FCC">
        <w:rPr>
          <w:color w:val="000000"/>
          <w:szCs w:val="24"/>
        </w:rPr>
        <w:tab/>
        <w:t>Adjunct Professor of History, 1993</w:t>
      </w:r>
    </w:p>
    <w:p w14:paraId="6C8861A9"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ab/>
        <w:t>Hong Kong Institute of Science and Technology, 2014</w:t>
      </w:r>
    </w:p>
    <w:p w14:paraId="47179252"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6E552C6D" w14:textId="77777777" w:rsidR="00557414" w:rsidRPr="00AE4FCC" w:rsidRDefault="00557414">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54964D3A" w14:textId="77777777" w:rsidR="00557414" w:rsidRPr="00AE4FCC" w:rsidRDefault="00557414">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251D9F2F" w14:textId="77777777" w:rsidR="00557414" w:rsidRPr="00AE4FCC" w:rsidRDefault="00557414">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7C70A43D"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0859B405" w14:textId="77777777" w:rsidR="00BD6321" w:rsidRPr="00AE4FCC" w:rsidRDefault="00BD6321" w:rsidP="00D65162">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color w:val="000000"/>
          <w:szCs w:val="24"/>
        </w:rPr>
      </w:pPr>
      <w:r w:rsidRPr="00AE4FCC">
        <w:rPr>
          <w:b/>
          <w:color w:val="000000"/>
          <w:szCs w:val="24"/>
        </w:rPr>
        <w:t>PUBLICATIONS</w:t>
      </w:r>
    </w:p>
    <w:p w14:paraId="745BE108"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03D4D91C"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b/>
          <w:color w:val="000000"/>
          <w:szCs w:val="24"/>
        </w:rPr>
        <w:t>Books</w:t>
      </w:r>
      <w:r w:rsidRPr="00AE4FCC">
        <w:rPr>
          <w:color w:val="000000"/>
          <w:szCs w:val="24"/>
        </w:rPr>
        <w:tab/>
      </w:r>
    </w:p>
    <w:p w14:paraId="1799BB8D"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7FBCC26C" w14:textId="77777777" w:rsidR="00296AC7"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i/>
          <w:color w:val="000000"/>
          <w:szCs w:val="24"/>
        </w:rPr>
        <w:t>Colorblind Injustice: Minority Voting Rights and the Undoing of the Second Reconstruction</w:t>
      </w:r>
      <w:r w:rsidRPr="00AE4FCC">
        <w:rPr>
          <w:color w:val="000000"/>
          <w:szCs w:val="24"/>
        </w:rPr>
        <w:t xml:space="preserve"> </w:t>
      </w:r>
    </w:p>
    <w:p w14:paraId="077B9DE7"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ab/>
        <w:t>(University of North Carolina Press, 1999).</w:t>
      </w:r>
      <w:r w:rsidR="008F6761" w:rsidRPr="00AE4FCC">
        <w:rPr>
          <w:color w:val="000000"/>
          <w:szCs w:val="24"/>
        </w:rPr>
        <w:t xml:space="preserve"> </w:t>
      </w:r>
    </w:p>
    <w:p w14:paraId="2C65535A"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463B7285"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i/>
          <w:color w:val="000000"/>
          <w:szCs w:val="24"/>
        </w:rPr>
        <w:t>Dead End:</w:t>
      </w:r>
      <w:r w:rsidR="008F6761" w:rsidRPr="00AE4FCC">
        <w:rPr>
          <w:i/>
          <w:color w:val="000000"/>
          <w:szCs w:val="24"/>
        </w:rPr>
        <w:t xml:space="preserve"> </w:t>
      </w:r>
      <w:r w:rsidRPr="00AE4FCC">
        <w:rPr>
          <w:i/>
          <w:color w:val="000000"/>
          <w:szCs w:val="24"/>
        </w:rPr>
        <w:t>The Development of Litigation on Racial Discrimination in Schools in 19</w:t>
      </w:r>
      <w:r w:rsidRPr="00AE4FCC">
        <w:rPr>
          <w:i/>
          <w:color w:val="000000"/>
          <w:szCs w:val="24"/>
          <w:vertAlign w:val="superscript"/>
        </w:rPr>
        <w:t>th</w:t>
      </w:r>
      <w:r w:rsidRPr="00AE4FCC">
        <w:rPr>
          <w:i/>
          <w:color w:val="000000"/>
          <w:szCs w:val="24"/>
        </w:rPr>
        <w:t xml:space="preserve"> Century America</w:t>
      </w:r>
      <w:r w:rsidRPr="00AE4FCC">
        <w:rPr>
          <w:color w:val="000000"/>
          <w:szCs w:val="24"/>
        </w:rPr>
        <w:t xml:space="preserve"> (Fair Lawn, N.J.:</w:t>
      </w:r>
      <w:r w:rsidR="008F6761" w:rsidRPr="00AE4FCC">
        <w:rPr>
          <w:color w:val="000000"/>
          <w:szCs w:val="24"/>
        </w:rPr>
        <w:t xml:space="preserve"> </w:t>
      </w:r>
      <w:r w:rsidRPr="00AE4FCC">
        <w:rPr>
          <w:color w:val="000000"/>
          <w:szCs w:val="24"/>
        </w:rPr>
        <w:t>Oxford University Press, 1986).</w:t>
      </w:r>
    </w:p>
    <w:p w14:paraId="71A53573"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6A007483"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i/>
          <w:color w:val="000000"/>
          <w:szCs w:val="24"/>
        </w:rPr>
        <w:t>Region, Race, and Reconstruction:</w:t>
      </w:r>
      <w:r w:rsidR="008F6761" w:rsidRPr="00AE4FCC">
        <w:rPr>
          <w:i/>
          <w:color w:val="000000"/>
          <w:szCs w:val="24"/>
        </w:rPr>
        <w:t xml:space="preserve"> </w:t>
      </w:r>
      <w:r w:rsidRPr="00AE4FCC">
        <w:rPr>
          <w:i/>
          <w:color w:val="000000"/>
          <w:szCs w:val="24"/>
        </w:rPr>
        <w:t>Essays in Honor of</w:t>
      </w:r>
      <w:r w:rsidR="008F6761" w:rsidRPr="00AE4FCC">
        <w:rPr>
          <w:i/>
          <w:color w:val="000000"/>
          <w:szCs w:val="24"/>
        </w:rPr>
        <w:t xml:space="preserve"> </w:t>
      </w:r>
      <w:r w:rsidRPr="00AE4FCC">
        <w:rPr>
          <w:i/>
          <w:color w:val="000000"/>
          <w:szCs w:val="24"/>
        </w:rPr>
        <w:t>C. Vann Woodward</w:t>
      </w:r>
      <w:r w:rsidRPr="00AE4FCC">
        <w:rPr>
          <w:color w:val="000000"/>
          <w:szCs w:val="24"/>
        </w:rPr>
        <w:t xml:space="preserve"> (New York:</w:t>
      </w:r>
      <w:r w:rsidR="008F6761" w:rsidRPr="00AE4FCC">
        <w:rPr>
          <w:color w:val="000000"/>
          <w:szCs w:val="24"/>
        </w:rPr>
        <w:t xml:space="preserve"> </w:t>
      </w:r>
      <w:r w:rsidRPr="00AE4FCC">
        <w:rPr>
          <w:color w:val="000000"/>
          <w:szCs w:val="24"/>
        </w:rPr>
        <w:t>Oxford University Press, 1982), co-edited with James M. McPherson.</w:t>
      </w:r>
    </w:p>
    <w:p w14:paraId="2E82A99F"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65B1FF0B" w14:textId="0DABCEC1" w:rsidR="00BD6321" w:rsidRDefault="00BD6321" w:rsidP="00D65162">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i/>
          <w:color w:val="000000"/>
          <w:szCs w:val="24"/>
        </w:rPr>
        <w:t>The Shaping of Southern Politics:</w:t>
      </w:r>
      <w:r w:rsidR="008F6761" w:rsidRPr="00AE4FCC">
        <w:rPr>
          <w:i/>
          <w:color w:val="000000"/>
          <w:szCs w:val="24"/>
        </w:rPr>
        <w:t xml:space="preserve"> </w:t>
      </w:r>
      <w:r w:rsidRPr="00AE4FCC">
        <w:rPr>
          <w:i/>
          <w:color w:val="000000"/>
          <w:szCs w:val="24"/>
        </w:rPr>
        <w:t>Suffrage Restriction and the Establishment of the One-Party South, 1880-1910</w:t>
      </w:r>
      <w:r w:rsidRPr="00AE4FCC">
        <w:rPr>
          <w:color w:val="000000"/>
          <w:szCs w:val="24"/>
        </w:rPr>
        <w:t xml:space="preserve"> (Yale Universit</w:t>
      </w:r>
      <w:r w:rsidR="00761EA3">
        <w:rPr>
          <w:color w:val="000000"/>
          <w:szCs w:val="24"/>
        </w:rPr>
        <w:t>y Press, 1974; Paperback, 1976), available online at</w:t>
      </w:r>
    </w:p>
    <w:p w14:paraId="13277BA9" w14:textId="44A1C519" w:rsidR="00761EA3" w:rsidRPr="00AE4FCC" w:rsidRDefault="00761EA3" w:rsidP="00D65162">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Pr>
          <w:i/>
          <w:color w:val="000000"/>
          <w:szCs w:val="24"/>
        </w:rPr>
        <w:tab/>
      </w:r>
      <w:hyperlink r:id="rId11" w:history="1">
        <w:r>
          <w:rPr>
            <w:rStyle w:val="Hyperlink"/>
            <w:shd w:val="clear" w:color="auto" w:fill="FFFFFF"/>
          </w:rPr>
          <w:t>http://resolver.caltech.edu/CaltechAUTHORS:20200722-095203042</w:t>
        </w:r>
      </w:hyperlink>
      <w:r>
        <w:rPr>
          <w:color w:val="0B0080"/>
          <w:u w:val="single"/>
          <w:shd w:val="clear" w:color="auto" w:fill="FFFFFF"/>
        </w:rPr>
        <w:t>.</w:t>
      </w:r>
    </w:p>
    <w:p w14:paraId="7892315E"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1B7CE454"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b/>
          <w:color w:val="000000"/>
          <w:szCs w:val="24"/>
        </w:rPr>
        <w:t>Articles</w:t>
      </w:r>
    </w:p>
    <w:p w14:paraId="215023B0"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1A75E11E" w14:textId="77777777" w:rsidR="00AE6FEB"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 xml:space="preserve">“Do the Facts of Voting Rights Support Chief Justice Roberts’s Opinion in </w:t>
      </w:r>
      <w:r w:rsidRPr="00AE4FCC">
        <w:rPr>
          <w:i/>
          <w:color w:val="000000"/>
          <w:szCs w:val="24"/>
        </w:rPr>
        <w:t>Shelby County</w:t>
      </w:r>
      <w:r w:rsidRPr="00AE4FCC">
        <w:rPr>
          <w:color w:val="000000"/>
          <w:szCs w:val="24"/>
        </w:rPr>
        <w:t xml:space="preserve">?” </w:t>
      </w:r>
    </w:p>
    <w:p w14:paraId="374A0EFF" w14:textId="77777777" w:rsidR="00BD6321" w:rsidRPr="00AE4FCC" w:rsidRDefault="00BD6321" w:rsidP="00A3546B">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rPr>
          <w:color w:val="000000"/>
          <w:szCs w:val="24"/>
        </w:rPr>
      </w:pPr>
      <w:r w:rsidRPr="00AE4FCC">
        <w:rPr>
          <w:color w:val="000000"/>
          <w:szCs w:val="24"/>
        </w:rPr>
        <w:t xml:space="preserve"> </w:t>
      </w:r>
      <w:r w:rsidR="00F23443" w:rsidRPr="00AE4FCC">
        <w:rPr>
          <w:color w:val="000000"/>
          <w:szCs w:val="24"/>
        </w:rPr>
        <w:t xml:space="preserve">in </w:t>
      </w:r>
      <w:r w:rsidR="00E02451" w:rsidRPr="00AE4FCC">
        <w:rPr>
          <w:i/>
          <w:color w:val="000000"/>
          <w:szCs w:val="24"/>
        </w:rPr>
        <w:t>Trans-</w:t>
      </w:r>
      <w:proofErr w:type="spellStart"/>
      <w:r w:rsidR="00E02451" w:rsidRPr="00AE4FCC">
        <w:rPr>
          <w:i/>
          <w:color w:val="000000"/>
          <w:szCs w:val="24"/>
        </w:rPr>
        <w:t>Atlantic</w:t>
      </w:r>
      <w:r w:rsidR="00A3546B" w:rsidRPr="00AE4FCC">
        <w:rPr>
          <w:i/>
          <w:color w:val="000000"/>
          <w:szCs w:val="24"/>
        </w:rPr>
        <w:t>a</w:t>
      </w:r>
      <w:proofErr w:type="spellEnd"/>
      <w:r w:rsidR="00E02451" w:rsidRPr="00AE4FCC">
        <w:rPr>
          <w:color w:val="000000"/>
          <w:szCs w:val="24"/>
        </w:rPr>
        <w:t>,</w:t>
      </w:r>
      <w:r w:rsidR="009243A0" w:rsidRPr="00AE4FCC">
        <w:rPr>
          <w:color w:val="000000"/>
          <w:szCs w:val="24"/>
        </w:rPr>
        <w:t xml:space="preserve"> 1 | 2015,</w:t>
      </w:r>
      <w:r w:rsidR="00E02451" w:rsidRPr="00AE4FCC">
        <w:rPr>
          <w:color w:val="000000"/>
          <w:szCs w:val="24"/>
        </w:rPr>
        <w:t xml:space="preserve"> available at </w:t>
      </w:r>
      <w:hyperlink r:id="rId12" w:history="1">
        <w:r w:rsidR="009243A0" w:rsidRPr="00AE4FCC">
          <w:rPr>
            <w:rStyle w:val="Hyperlink"/>
            <w:szCs w:val="24"/>
          </w:rPr>
          <w:t>https://transatlantica.revues.org/7462</w:t>
        </w:r>
      </w:hyperlink>
      <w:r w:rsidR="009243A0" w:rsidRPr="00AE4FCC">
        <w:rPr>
          <w:color w:val="000000"/>
          <w:szCs w:val="24"/>
        </w:rPr>
        <w:t>.</w:t>
      </w:r>
    </w:p>
    <w:p w14:paraId="2F2E10F9"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154DED1D"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w:t>
      </w:r>
      <w:r w:rsidRPr="00AE4FCC">
        <w:rPr>
          <w:i/>
          <w:color w:val="000000"/>
          <w:szCs w:val="24"/>
        </w:rPr>
        <w:t>Strange Career</w:t>
      </w:r>
      <w:r w:rsidRPr="00AE4FCC">
        <w:rPr>
          <w:color w:val="000000"/>
          <w:szCs w:val="24"/>
        </w:rPr>
        <w:t xml:space="preserve"> and the Need for a Second Reconstruction of the History of Race Relations,” in Raymond Arsenault and Vernon Burton, eds., </w:t>
      </w:r>
      <w:r w:rsidRPr="00AE4FCC">
        <w:rPr>
          <w:i/>
          <w:color w:val="000000"/>
          <w:szCs w:val="24"/>
        </w:rPr>
        <w:t>Dixie Redux: Essays in Honor of Sheldon Hackney</w:t>
      </w:r>
      <w:r w:rsidRPr="00AE4FCC">
        <w:rPr>
          <w:color w:val="000000"/>
          <w:szCs w:val="24"/>
        </w:rPr>
        <w:t xml:space="preserve"> (New South Books, 2013), 423-53.</w:t>
      </w:r>
    </w:p>
    <w:p w14:paraId="698E1E0A"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0C2361CB"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 xml:space="preserve">“Why Were You Editor for 12 Years?”, </w:t>
      </w:r>
      <w:r w:rsidR="00F23443" w:rsidRPr="00AE4FCC">
        <w:rPr>
          <w:color w:val="000000"/>
          <w:szCs w:val="24"/>
        </w:rPr>
        <w:t xml:space="preserve">in </w:t>
      </w:r>
      <w:r w:rsidRPr="00AE4FCC">
        <w:rPr>
          <w:i/>
          <w:color w:val="000000"/>
          <w:szCs w:val="24"/>
        </w:rPr>
        <w:t>Historical Methods</w:t>
      </w:r>
      <w:r w:rsidRPr="00AE4FCC">
        <w:rPr>
          <w:color w:val="000000"/>
          <w:szCs w:val="24"/>
        </w:rPr>
        <w:t>, 46 (2013), 1-4.</w:t>
      </w:r>
    </w:p>
    <w:p w14:paraId="446B5B66"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659E29CD"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“The Strange, Ironic Career of Section Five of the Voting Rights Act, 1965-2007”</w:t>
      </w:r>
      <w:r w:rsidR="00F23443" w:rsidRPr="00AE4FCC">
        <w:rPr>
          <w:color w:val="000000"/>
          <w:szCs w:val="24"/>
        </w:rPr>
        <w:t>, in</w:t>
      </w:r>
      <w:r w:rsidRPr="00AE4FCC">
        <w:rPr>
          <w:color w:val="000000"/>
          <w:szCs w:val="24"/>
        </w:rPr>
        <w:t xml:space="preserve"> </w:t>
      </w:r>
      <w:r w:rsidRPr="00AE4FCC">
        <w:rPr>
          <w:i/>
          <w:color w:val="000000"/>
          <w:szCs w:val="24"/>
        </w:rPr>
        <w:t>Texas Law Review</w:t>
      </w:r>
      <w:r w:rsidRPr="00AE4FCC">
        <w:rPr>
          <w:color w:val="000000"/>
          <w:szCs w:val="24"/>
        </w:rPr>
        <w:t xml:space="preserve">, 86 (2008), 667-775 and “Prof. Kousser Responds to Prof. Bickerstaff’s Comments,” </w:t>
      </w:r>
      <w:r w:rsidR="00F23443" w:rsidRPr="00AE4FCC">
        <w:rPr>
          <w:color w:val="000000"/>
          <w:szCs w:val="24"/>
        </w:rPr>
        <w:t xml:space="preserve">in </w:t>
      </w:r>
      <w:r w:rsidRPr="00AE4FCC">
        <w:rPr>
          <w:i/>
          <w:color w:val="000000"/>
          <w:szCs w:val="24"/>
        </w:rPr>
        <w:t>Texas Law Review</w:t>
      </w:r>
      <w:r w:rsidRPr="00AE4FCC">
        <w:rPr>
          <w:color w:val="000000"/>
          <w:szCs w:val="24"/>
        </w:rPr>
        <w:t xml:space="preserve">, 86 (2008), in </w:t>
      </w:r>
      <w:r w:rsidRPr="00AE4FCC">
        <w:rPr>
          <w:i/>
          <w:color w:val="000000"/>
          <w:szCs w:val="24"/>
        </w:rPr>
        <w:t>See Also: An Online Companion to the Texas Law Review</w:t>
      </w:r>
      <w:r w:rsidRPr="00AE4FCC">
        <w:rPr>
          <w:color w:val="000000"/>
          <w:szCs w:val="24"/>
        </w:rPr>
        <w:t>, at &lt;http://www.texaslrev.com/seealso/volume-86/issue-4/prof.-kousser-responds-to-prof.-bickerstaffs-comments.html&gt;.</w:t>
      </w:r>
    </w:p>
    <w:p w14:paraId="7FB67DD4"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17061E7C"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 xml:space="preserve">“Has California Gone Colorblind?”, in Frederick </w:t>
      </w:r>
      <w:proofErr w:type="spellStart"/>
      <w:r w:rsidRPr="00AE4FCC">
        <w:rPr>
          <w:color w:val="000000"/>
          <w:szCs w:val="24"/>
        </w:rPr>
        <w:t>Douzet</w:t>
      </w:r>
      <w:proofErr w:type="spellEnd"/>
      <w:r w:rsidRPr="00AE4FCC">
        <w:rPr>
          <w:color w:val="000000"/>
          <w:szCs w:val="24"/>
        </w:rPr>
        <w:t xml:space="preserve">, Thad Kousser, and Kenneth P. Miller, eds., </w:t>
      </w:r>
      <w:r w:rsidRPr="00AE4FCC">
        <w:rPr>
          <w:i/>
          <w:color w:val="000000"/>
          <w:szCs w:val="24"/>
        </w:rPr>
        <w:t>The New Political Geography of California</w:t>
      </w:r>
      <w:r w:rsidRPr="00AE4FCC">
        <w:rPr>
          <w:color w:val="000000"/>
          <w:szCs w:val="24"/>
        </w:rPr>
        <w:t xml:space="preserve"> (Berkeley: Institute of Governmental Studies, 2008), 267-90.</w:t>
      </w:r>
    </w:p>
    <w:p w14:paraId="60CC473F" w14:textId="77777777" w:rsidR="002478E5" w:rsidRPr="00AE4FCC" w:rsidRDefault="002478E5">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p>
    <w:p w14:paraId="17D631AD"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“‘The Onward March of Right Principles’: State Legislative Actions on Racial Discrimination in Schools in 19</w:t>
      </w:r>
      <w:r w:rsidRPr="00AE4FCC">
        <w:rPr>
          <w:color w:val="000000"/>
          <w:szCs w:val="24"/>
          <w:vertAlign w:val="superscript"/>
        </w:rPr>
        <w:t>th</w:t>
      </w:r>
      <w:r w:rsidRPr="00AE4FCC">
        <w:rPr>
          <w:color w:val="000000"/>
          <w:szCs w:val="24"/>
        </w:rPr>
        <w:t xml:space="preserve"> Century America,” </w:t>
      </w:r>
      <w:r w:rsidRPr="00AE4FCC">
        <w:rPr>
          <w:i/>
          <w:color w:val="000000"/>
          <w:szCs w:val="24"/>
        </w:rPr>
        <w:t>Historical Methods</w:t>
      </w:r>
      <w:r w:rsidRPr="00AE4FCC">
        <w:rPr>
          <w:color w:val="000000"/>
          <w:szCs w:val="24"/>
        </w:rPr>
        <w:t xml:space="preserve"> 35 (2002), 177-204.</w:t>
      </w:r>
    </w:p>
    <w:p w14:paraId="0F3C8202"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1F543722"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 xml:space="preserve">“Introduction” to special issue on “Evaluating Ecological Inference” and paper, “Ecological Inference from Goodman to King,” </w:t>
      </w:r>
      <w:r w:rsidR="00F23443" w:rsidRPr="00AE4FCC">
        <w:rPr>
          <w:color w:val="000000"/>
          <w:szCs w:val="24"/>
        </w:rPr>
        <w:t xml:space="preserve">in </w:t>
      </w:r>
      <w:r w:rsidRPr="00AE4FCC">
        <w:rPr>
          <w:i/>
          <w:color w:val="000000"/>
          <w:szCs w:val="24"/>
        </w:rPr>
        <w:t>Historical Methods</w:t>
      </w:r>
      <w:r w:rsidRPr="00AE4FCC">
        <w:rPr>
          <w:color w:val="000000"/>
          <w:szCs w:val="24"/>
        </w:rPr>
        <w:t xml:space="preserve"> 34 (2001), 100-126.</w:t>
      </w:r>
    </w:p>
    <w:p w14:paraId="7CD3D3DD"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6573AE2F"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 xml:space="preserve">“Injustice and Scholarship” and “Responses to Commentaries,” in </w:t>
      </w:r>
      <w:r w:rsidRPr="00AE4FCC">
        <w:rPr>
          <w:i/>
          <w:color w:val="000000"/>
          <w:szCs w:val="24"/>
        </w:rPr>
        <w:t>Social Science History</w:t>
      </w:r>
      <w:r w:rsidRPr="00AE4FCC">
        <w:rPr>
          <w:color w:val="000000"/>
          <w:szCs w:val="24"/>
        </w:rPr>
        <w:t xml:space="preserve"> 24 (2000), 415-21, 443-50. (symposium on</w:t>
      </w:r>
      <w:r w:rsidRPr="00AE4FCC">
        <w:rPr>
          <w:i/>
          <w:color w:val="000000"/>
          <w:szCs w:val="24"/>
        </w:rPr>
        <w:t xml:space="preserve"> Colorblind Injustice</w:t>
      </w:r>
      <w:r w:rsidRPr="00AE4FCC">
        <w:rPr>
          <w:color w:val="000000"/>
          <w:szCs w:val="24"/>
        </w:rPr>
        <w:t>)</w:t>
      </w:r>
    </w:p>
    <w:p w14:paraId="21EE264E"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48404106"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 xml:space="preserve">“What Light Does the Civil Rights Act of 1875 Shed on the Civil Rights Act of 1964?” in Bernard </w:t>
      </w:r>
      <w:proofErr w:type="spellStart"/>
      <w:r w:rsidRPr="00AE4FCC">
        <w:rPr>
          <w:color w:val="000000"/>
          <w:szCs w:val="24"/>
        </w:rPr>
        <w:t>Grofman</w:t>
      </w:r>
      <w:proofErr w:type="spellEnd"/>
      <w:r w:rsidRPr="00AE4FCC">
        <w:rPr>
          <w:color w:val="000000"/>
          <w:szCs w:val="24"/>
        </w:rPr>
        <w:t xml:space="preserve">, ed., </w:t>
      </w:r>
      <w:r w:rsidRPr="00AE4FCC">
        <w:rPr>
          <w:i/>
          <w:color w:val="000000"/>
          <w:szCs w:val="24"/>
        </w:rPr>
        <w:t>Legacies of the 1964 Civil Rights Act</w:t>
      </w:r>
      <w:r w:rsidRPr="00AE4FCC">
        <w:rPr>
          <w:color w:val="000000"/>
          <w:szCs w:val="24"/>
        </w:rPr>
        <w:t xml:space="preserve"> (Charlottesville, VA: University Press of Virginia, 2000), 33-40.</w:t>
      </w:r>
    </w:p>
    <w:p w14:paraId="640B4FFB"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210830FE"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 xml:space="preserve"> “Reapportionment Wars: Party, Race, and Redistricting in California, 1971-1992,” in Bernard </w:t>
      </w:r>
      <w:proofErr w:type="spellStart"/>
      <w:r w:rsidRPr="00AE4FCC">
        <w:rPr>
          <w:color w:val="000000"/>
          <w:szCs w:val="24"/>
        </w:rPr>
        <w:t>Grofman</w:t>
      </w:r>
      <w:proofErr w:type="spellEnd"/>
      <w:r w:rsidRPr="00AE4FCC">
        <w:rPr>
          <w:color w:val="000000"/>
          <w:szCs w:val="24"/>
        </w:rPr>
        <w:t>, ed.,</w:t>
      </w:r>
      <w:r w:rsidR="008F6761" w:rsidRPr="00AE4FCC">
        <w:rPr>
          <w:color w:val="000000"/>
          <w:szCs w:val="24"/>
        </w:rPr>
        <w:t xml:space="preserve"> </w:t>
      </w:r>
      <w:r w:rsidRPr="00AE4FCC">
        <w:rPr>
          <w:i/>
          <w:color w:val="000000"/>
          <w:szCs w:val="24"/>
        </w:rPr>
        <w:t>Race and Redistricting in the 1990's</w:t>
      </w:r>
      <w:r w:rsidRPr="00AE4FCC">
        <w:rPr>
          <w:color w:val="000000"/>
          <w:szCs w:val="24"/>
        </w:rPr>
        <w:t xml:space="preserve"> (New York: Agathon Press, 1998), 134-90.</w:t>
      </w:r>
    </w:p>
    <w:p w14:paraId="524C4DD3" w14:textId="77777777" w:rsidR="002478E5" w:rsidRPr="00AE4FCC" w:rsidRDefault="002478E5">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p>
    <w:p w14:paraId="5452716A" w14:textId="77777777" w:rsidR="00296AC7" w:rsidRPr="00AE4FCC" w:rsidRDefault="00296AC7">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“Ironies of California Redistricting, 1971-2001,” in Jerry Lubenow and Bruce E. Cain,</w:t>
      </w:r>
      <w:r w:rsidR="008F6761" w:rsidRPr="00AE4FCC">
        <w:rPr>
          <w:color w:val="000000"/>
          <w:szCs w:val="24"/>
        </w:rPr>
        <w:t xml:space="preserve"> </w:t>
      </w:r>
      <w:r w:rsidRPr="00AE4FCC">
        <w:rPr>
          <w:i/>
          <w:color w:val="000000"/>
          <w:szCs w:val="24"/>
        </w:rPr>
        <w:t>Governing the Golden State:</w:t>
      </w:r>
      <w:r w:rsidR="008F6761" w:rsidRPr="00AE4FCC">
        <w:rPr>
          <w:i/>
          <w:color w:val="000000"/>
          <w:szCs w:val="24"/>
        </w:rPr>
        <w:t xml:space="preserve"> </w:t>
      </w:r>
      <w:r w:rsidRPr="00AE4FCC">
        <w:rPr>
          <w:i/>
          <w:color w:val="000000"/>
          <w:szCs w:val="24"/>
        </w:rPr>
        <w:t>Politics, Government, and Public Policy in California</w:t>
      </w:r>
      <w:r w:rsidR="008F6761" w:rsidRPr="00AE4FCC">
        <w:rPr>
          <w:color w:val="000000"/>
          <w:szCs w:val="24"/>
        </w:rPr>
        <w:t xml:space="preserve"> </w:t>
      </w:r>
      <w:r w:rsidRPr="00AE4FCC">
        <w:rPr>
          <w:color w:val="000000"/>
          <w:szCs w:val="24"/>
        </w:rPr>
        <w:t xml:space="preserve"> (Berkeley, CA: IGS Press, 1997), 137-55.</w:t>
      </w:r>
      <w:r w:rsidR="008F6761" w:rsidRPr="00AE4FCC">
        <w:rPr>
          <w:color w:val="000000"/>
          <w:szCs w:val="24"/>
        </w:rPr>
        <w:t xml:space="preserve"> </w:t>
      </w:r>
      <w:r w:rsidRPr="00AE4FCC">
        <w:rPr>
          <w:color w:val="000000"/>
          <w:szCs w:val="24"/>
        </w:rPr>
        <w:t xml:space="preserve"> </w:t>
      </w:r>
    </w:p>
    <w:p w14:paraId="79D5E092" w14:textId="77777777" w:rsidR="00296AC7" w:rsidRPr="00AE4FCC" w:rsidRDefault="00296AC7">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p>
    <w:p w14:paraId="1D1544EA" w14:textId="77777777" w:rsidR="00296AC7" w:rsidRPr="00AE4FCC" w:rsidRDefault="00296AC7">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 xml:space="preserve"> “Estimating the Partisan Consequences of Redistricting Plans -- Simply,” </w:t>
      </w:r>
      <w:r w:rsidR="00F23443" w:rsidRPr="00AE4FCC">
        <w:rPr>
          <w:color w:val="000000"/>
          <w:szCs w:val="24"/>
        </w:rPr>
        <w:t>in</w:t>
      </w:r>
      <w:r w:rsidRPr="00AE4FCC">
        <w:rPr>
          <w:color w:val="000000"/>
          <w:szCs w:val="24"/>
        </w:rPr>
        <w:t xml:space="preserve"> </w:t>
      </w:r>
      <w:r w:rsidRPr="00AE4FCC">
        <w:rPr>
          <w:i/>
          <w:color w:val="000000"/>
          <w:szCs w:val="24"/>
        </w:rPr>
        <w:t>Legislative</w:t>
      </w:r>
      <w:r w:rsidRPr="00AE4FCC">
        <w:rPr>
          <w:color w:val="000000"/>
          <w:szCs w:val="24"/>
        </w:rPr>
        <w:t xml:space="preserve"> </w:t>
      </w:r>
      <w:r w:rsidRPr="00AE4FCC">
        <w:rPr>
          <w:i/>
          <w:color w:val="000000"/>
          <w:szCs w:val="24"/>
        </w:rPr>
        <w:t>Studies Quarterly</w:t>
      </w:r>
      <w:r w:rsidRPr="00AE4FCC">
        <w:rPr>
          <w:color w:val="000000"/>
          <w:szCs w:val="24"/>
        </w:rPr>
        <w:t xml:space="preserve"> 21 (1996), 521-41.</w:t>
      </w:r>
      <w:r w:rsidR="008F6761" w:rsidRPr="00AE4FCC">
        <w:rPr>
          <w:color w:val="000000"/>
          <w:szCs w:val="24"/>
        </w:rPr>
        <w:t xml:space="preserve">  </w:t>
      </w:r>
      <w:r w:rsidRPr="00AE4FCC">
        <w:rPr>
          <w:color w:val="000000"/>
          <w:szCs w:val="24"/>
        </w:rPr>
        <w:t xml:space="preserve"> </w:t>
      </w:r>
    </w:p>
    <w:p w14:paraId="540192DB" w14:textId="77777777" w:rsidR="00296AC7" w:rsidRPr="00AE4FCC" w:rsidRDefault="00296AC7">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p>
    <w:p w14:paraId="5B6BD132" w14:textId="77777777" w:rsidR="00BD6321" w:rsidRPr="00AE4FCC" w:rsidRDefault="00BD6321" w:rsidP="00296AC7">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w:t>
      </w:r>
      <w:r w:rsidRPr="00AE4FCC">
        <w:rPr>
          <w:i/>
          <w:color w:val="000000"/>
          <w:szCs w:val="24"/>
        </w:rPr>
        <w:t>Shaw</w:t>
      </w:r>
      <w:r w:rsidRPr="00AE4FCC">
        <w:rPr>
          <w:color w:val="000000"/>
          <w:szCs w:val="24"/>
        </w:rPr>
        <w:t xml:space="preserve"> v.</w:t>
      </w:r>
      <w:r w:rsidR="008F6761" w:rsidRPr="00AE4FCC">
        <w:rPr>
          <w:color w:val="000000"/>
          <w:szCs w:val="24"/>
        </w:rPr>
        <w:t xml:space="preserve"> </w:t>
      </w:r>
      <w:r w:rsidRPr="00AE4FCC">
        <w:rPr>
          <w:i/>
          <w:color w:val="000000"/>
          <w:szCs w:val="24"/>
        </w:rPr>
        <w:t>Reno</w:t>
      </w:r>
      <w:r w:rsidRPr="00AE4FCC">
        <w:rPr>
          <w:color w:val="000000"/>
          <w:szCs w:val="24"/>
        </w:rPr>
        <w:t xml:space="preserve"> and the Real World of Redistricting and Representation,” in </w:t>
      </w:r>
      <w:r w:rsidRPr="00AE4FCC">
        <w:rPr>
          <w:i/>
          <w:color w:val="000000"/>
          <w:szCs w:val="24"/>
        </w:rPr>
        <w:t>Rutgers Law</w:t>
      </w:r>
      <w:r w:rsidRPr="00AE4FCC">
        <w:rPr>
          <w:i/>
          <w:color w:val="000000"/>
          <w:szCs w:val="24"/>
        </w:rPr>
        <w:tab/>
        <w:t>Journal</w:t>
      </w:r>
      <w:r w:rsidRPr="00AE4FCC">
        <w:rPr>
          <w:color w:val="000000"/>
          <w:szCs w:val="24"/>
        </w:rPr>
        <w:t xml:space="preserve"> 26 (1995), 625-710.</w:t>
      </w:r>
    </w:p>
    <w:p w14:paraId="52454BBF"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4777BD65"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Comments, in “The Supreme Court, Racial Politics, and the Right to Vote:</w:t>
      </w:r>
      <w:r w:rsidR="008F6761" w:rsidRPr="00AE4FCC">
        <w:rPr>
          <w:color w:val="000000"/>
          <w:szCs w:val="24"/>
        </w:rPr>
        <w:t xml:space="preserve"> </w:t>
      </w:r>
      <w:r w:rsidRPr="00AE4FCC">
        <w:rPr>
          <w:i/>
          <w:color w:val="000000"/>
          <w:szCs w:val="24"/>
        </w:rPr>
        <w:t>Shaw</w:t>
      </w:r>
      <w:r w:rsidRPr="00AE4FCC">
        <w:rPr>
          <w:color w:val="000000"/>
          <w:szCs w:val="24"/>
        </w:rPr>
        <w:t xml:space="preserve"> v.</w:t>
      </w:r>
      <w:r w:rsidR="008F6761" w:rsidRPr="00AE4FCC">
        <w:rPr>
          <w:color w:val="000000"/>
          <w:szCs w:val="24"/>
        </w:rPr>
        <w:t xml:space="preserve"> </w:t>
      </w:r>
      <w:r w:rsidRPr="00AE4FCC">
        <w:rPr>
          <w:i/>
          <w:color w:val="000000"/>
          <w:szCs w:val="24"/>
        </w:rPr>
        <w:t>Reno</w:t>
      </w:r>
      <w:r w:rsidRPr="00AE4FCC">
        <w:rPr>
          <w:color w:val="000000"/>
          <w:szCs w:val="24"/>
        </w:rPr>
        <w:t xml:space="preserve"> and the Future of the Voting Rights Act,” </w:t>
      </w:r>
      <w:r w:rsidR="00F23443" w:rsidRPr="00AE4FCC">
        <w:rPr>
          <w:color w:val="000000"/>
          <w:szCs w:val="24"/>
        </w:rPr>
        <w:t xml:space="preserve">in </w:t>
      </w:r>
      <w:r w:rsidRPr="00AE4FCC">
        <w:rPr>
          <w:i/>
          <w:color w:val="000000"/>
          <w:szCs w:val="24"/>
        </w:rPr>
        <w:t>American University Law Review</w:t>
      </w:r>
      <w:r w:rsidRPr="00AE4FCC">
        <w:rPr>
          <w:color w:val="000000"/>
          <w:szCs w:val="24"/>
        </w:rPr>
        <w:t>, 44 (1994), 1, at 36-38, 50-51, 60-63.</w:t>
      </w:r>
    </w:p>
    <w:p w14:paraId="57A9B1D1" w14:textId="77777777" w:rsidR="002A4389" w:rsidRPr="00AE4FCC" w:rsidRDefault="002A4389">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p>
    <w:p w14:paraId="24178EDF" w14:textId="77777777" w:rsidR="002A4389" w:rsidRPr="00AE4FCC" w:rsidRDefault="002A4389">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“Ignoble Intentions and Noble Dreams: On Relativism and History with a Purpose,” in</w:t>
      </w:r>
      <w:r w:rsidR="008F6761" w:rsidRPr="00AE4FCC">
        <w:rPr>
          <w:color w:val="000000"/>
          <w:szCs w:val="24"/>
        </w:rPr>
        <w:t xml:space="preserve"> </w:t>
      </w:r>
      <w:r w:rsidRPr="00AE4FCC">
        <w:rPr>
          <w:i/>
          <w:color w:val="000000"/>
          <w:szCs w:val="24"/>
        </w:rPr>
        <w:t>The Public Historian</w:t>
      </w:r>
      <w:r w:rsidRPr="00AE4FCC">
        <w:rPr>
          <w:color w:val="000000"/>
          <w:szCs w:val="24"/>
        </w:rPr>
        <w:t xml:space="preserve"> 15 (Summer 1993), 15-28.</w:t>
      </w:r>
    </w:p>
    <w:p w14:paraId="36D0C2BA" w14:textId="77777777" w:rsidR="002A4389" w:rsidRPr="00AE4FCC" w:rsidRDefault="002A4389">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p>
    <w:p w14:paraId="01CB1884" w14:textId="77777777" w:rsidR="002A4389" w:rsidRPr="00AE4FCC" w:rsidRDefault="002A4389">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 xml:space="preserve">“Beyond </w:t>
      </w:r>
      <w:r w:rsidRPr="00AE4FCC">
        <w:rPr>
          <w:i/>
          <w:color w:val="000000"/>
          <w:szCs w:val="24"/>
        </w:rPr>
        <w:t>Gingles</w:t>
      </w:r>
      <w:r w:rsidRPr="00AE4FCC">
        <w:rPr>
          <w:color w:val="000000"/>
          <w:szCs w:val="24"/>
        </w:rPr>
        <w:t>:</w:t>
      </w:r>
      <w:r w:rsidR="008F6761" w:rsidRPr="00AE4FCC">
        <w:rPr>
          <w:color w:val="000000"/>
          <w:szCs w:val="24"/>
        </w:rPr>
        <w:t xml:space="preserve"> </w:t>
      </w:r>
      <w:r w:rsidRPr="00AE4FCC">
        <w:rPr>
          <w:color w:val="000000"/>
          <w:szCs w:val="24"/>
        </w:rPr>
        <w:t xml:space="preserve">Influence Districts and the Pragmatic Tradition in Voting Rights Law,” in </w:t>
      </w:r>
    </w:p>
    <w:p w14:paraId="6778233E" w14:textId="77777777" w:rsidR="002A4389" w:rsidRPr="00AE4FCC" w:rsidRDefault="002A4389">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ab/>
      </w:r>
      <w:r w:rsidRPr="00AE4FCC">
        <w:rPr>
          <w:i/>
          <w:color w:val="000000"/>
          <w:szCs w:val="24"/>
        </w:rPr>
        <w:t>University of San Francisco Law Review</w:t>
      </w:r>
      <w:r w:rsidRPr="00AE4FCC">
        <w:rPr>
          <w:color w:val="000000"/>
          <w:szCs w:val="24"/>
        </w:rPr>
        <w:t>, 27 (Spring 1993), 551-92.</w:t>
      </w:r>
    </w:p>
    <w:p w14:paraId="06ECF093" w14:textId="77777777" w:rsidR="002A4389" w:rsidRPr="00AE4FCC" w:rsidRDefault="002A4389">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p>
    <w:p w14:paraId="4AD5E2DC" w14:textId="77777777" w:rsidR="00296AC7"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“Common Sense or Commonwealth?</w:t>
      </w:r>
      <w:r w:rsidR="008F6761" w:rsidRPr="00AE4FCC">
        <w:rPr>
          <w:color w:val="000000"/>
          <w:szCs w:val="24"/>
        </w:rPr>
        <w:t xml:space="preserve"> </w:t>
      </w:r>
      <w:r w:rsidRPr="00AE4FCC">
        <w:rPr>
          <w:color w:val="000000"/>
          <w:szCs w:val="24"/>
        </w:rPr>
        <w:t xml:space="preserve">The Fence Laws and Institutional Change in the </w:t>
      </w:r>
      <w:r w:rsidRPr="00AE4FCC">
        <w:rPr>
          <w:color w:val="000000"/>
          <w:szCs w:val="24"/>
        </w:rPr>
        <w:tab/>
        <w:t>Postbellum South” and “Two Visions of History,” (both with Shawn Kantor)</w:t>
      </w:r>
    </w:p>
    <w:p w14:paraId="0A6CF940" w14:textId="77777777" w:rsidR="00BD6321" w:rsidRPr="00AE4FCC" w:rsidRDefault="00296AC7">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ab/>
      </w:r>
      <w:r w:rsidR="00BD6321" w:rsidRPr="00AE4FCC">
        <w:rPr>
          <w:color w:val="000000"/>
          <w:szCs w:val="24"/>
        </w:rPr>
        <w:t xml:space="preserve"> </w:t>
      </w:r>
      <w:r w:rsidRPr="00AE4FCC">
        <w:rPr>
          <w:i/>
          <w:color w:val="000000"/>
          <w:szCs w:val="24"/>
        </w:rPr>
        <w:t>J</w:t>
      </w:r>
      <w:r w:rsidR="00BD6321" w:rsidRPr="00AE4FCC">
        <w:rPr>
          <w:i/>
          <w:color w:val="000000"/>
          <w:szCs w:val="24"/>
        </w:rPr>
        <w:t>ournal of Southern History</w:t>
      </w:r>
      <w:r w:rsidR="00BD6321" w:rsidRPr="00AE4FCC">
        <w:rPr>
          <w:color w:val="000000"/>
          <w:szCs w:val="24"/>
        </w:rPr>
        <w:t>, 59 (May 1993), 201-42, 259-66.</w:t>
      </w:r>
    </w:p>
    <w:p w14:paraId="11A2D23C" w14:textId="77777777" w:rsidR="002A4389" w:rsidRPr="00AE4FCC" w:rsidRDefault="002A4389">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2E68144D" w14:textId="77777777" w:rsidR="002A4389" w:rsidRPr="00AE4FCC" w:rsidRDefault="002A4389">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 xml:space="preserve">“The Voting Rights Act and the Two Reconstructions,” in Chandler Davidson and Bernard </w:t>
      </w:r>
    </w:p>
    <w:p w14:paraId="69DF92E8" w14:textId="77777777" w:rsidR="00AE4FCC" w:rsidRPr="00AE4FCC" w:rsidRDefault="002A4389">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i/>
          <w:color w:val="000000"/>
          <w:szCs w:val="24"/>
        </w:rPr>
      </w:pPr>
      <w:r w:rsidRPr="00AE4FCC">
        <w:rPr>
          <w:color w:val="000000"/>
          <w:szCs w:val="24"/>
        </w:rPr>
        <w:tab/>
      </w:r>
      <w:proofErr w:type="spellStart"/>
      <w:r w:rsidRPr="00AE4FCC">
        <w:rPr>
          <w:color w:val="000000"/>
          <w:szCs w:val="24"/>
        </w:rPr>
        <w:t>Grofman</w:t>
      </w:r>
      <w:proofErr w:type="spellEnd"/>
      <w:r w:rsidRPr="00AE4FCC">
        <w:rPr>
          <w:color w:val="000000"/>
          <w:szCs w:val="24"/>
        </w:rPr>
        <w:t xml:space="preserve">, eds., </w:t>
      </w:r>
      <w:r w:rsidRPr="00AE4FCC">
        <w:rPr>
          <w:i/>
          <w:color w:val="000000"/>
          <w:szCs w:val="24"/>
        </w:rPr>
        <w:t>Controversies in Minority Voting:</w:t>
      </w:r>
      <w:r w:rsidR="008F6761" w:rsidRPr="00AE4FCC">
        <w:rPr>
          <w:i/>
          <w:color w:val="000000"/>
          <w:szCs w:val="24"/>
        </w:rPr>
        <w:t xml:space="preserve"> </w:t>
      </w:r>
      <w:r w:rsidRPr="00AE4FCC">
        <w:rPr>
          <w:i/>
          <w:color w:val="000000"/>
          <w:szCs w:val="24"/>
        </w:rPr>
        <w:t xml:space="preserve">A Twenty-Five Year Perspective on </w:t>
      </w:r>
    </w:p>
    <w:p w14:paraId="4113AC51" w14:textId="77777777" w:rsidR="002A4389" w:rsidRPr="00AE4FCC" w:rsidRDefault="00AE4FCC">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i/>
          <w:color w:val="000000"/>
          <w:szCs w:val="24"/>
        </w:rPr>
        <w:tab/>
      </w:r>
      <w:r w:rsidR="002A4389" w:rsidRPr="00AE4FCC">
        <w:rPr>
          <w:i/>
          <w:color w:val="000000"/>
          <w:szCs w:val="24"/>
        </w:rPr>
        <w:t>the</w:t>
      </w:r>
      <w:r w:rsidRPr="00AE4FCC">
        <w:rPr>
          <w:i/>
          <w:color w:val="000000"/>
          <w:szCs w:val="24"/>
        </w:rPr>
        <w:t xml:space="preserve"> </w:t>
      </w:r>
      <w:r w:rsidR="002A4389" w:rsidRPr="00AE4FCC">
        <w:rPr>
          <w:i/>
          <w:color w:val="000000"/>
          <w:szCs w:val="24"/>
        </w:rPr>
        <w:t>Voting Rights Act of 1965</w:t>
      </w:r>
      <w:r w:rsidR="002A4389" w:rsidRPr="00AE4FCC">
        <w:rPr>
          <w:color w:val="000000"/>
          <w:szCs w:val="24"/>
        </w:rPr>
        <w:t xml:space="preserve"> (Washington: Brookings Institution, 1992), 135-76.</w:t>
      </w:r>
    </w:p>
    <w:p w14:paraId="2AC677B1"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1AEA9A18"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 xml:space="preserve">“How to Determine Intent: Lessons from L.A.,” </w:t>
      </w:r>
      <w:r w:rsidRPr="00AE4FCC">
        <w:rPr>
          <w:i/>
          <w:color w:val="000000"/>
          <w:szCs w:val="24"/>
        </w:rPr>
        <w:t>Journal of Law &amp; Politics</w:t>
      </w:r>
      <w:r w:rsidRPr="00AE4FCC">
        <w:rPr>
          <w:color w:val="000000"/>
          <w:szCs w:val="24"/>
        </w:rPr>
        <w:t>, 7 (1991), 591-732.</w:t>
      </w:r>
    </w:p>
    <w:p w14:paraId="35264790"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189425AC"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“Toward ‘Total Political History':</w:t>
      </w:r>
      <w:r w:rsidR="008F6761" w:rsidRPr="00AE4FCC">
        <w:rPr>
          <w:color w:val="000000"/>
          <w:szCs w:val="24"/>
        </w:rPr>
        <w:t xml:space="preserve"> </w:t>
      </w:r>
      <w:r w:rsidRPr="00AE4FCC">
        <w:rPr>
          <w:color w:val="000000"/>
          <w:szCs w:val="24"/>
        </w:rPr>
        <w:t>A Rational Choice Research Program,”</w:t>
      </w:r>
      <w:r w:rsidR="00F23443" w:rsidRPr="00AE4FCC">
        <w:rPr>
          <w:color w:val="000000"/>
          <w:szCs w:val="24"/>
        </w:rPr>
        <w:t xml:space="preserve"> in</w:t>
      </w:r>
      <w:r w:rsidRPr="00AE4FCC">
        <w:rPr>
          <w:color w:val="000000"/>
          <w:szCs w:val="24"/>
        </w:rPr>
        <w:t xml:space="preserve"> </w:t>
      </w:r>
      <w:r w:rsidRPr="00AE4FCC">
        <w:rPr>
          <w:i/>
          <w:color w:val="000000"/>
          <w:szCs w:val="24"/>
        </w:rPr>
        <w:t>Journal of Interdisciplinary History</w:t>
      </w:r>
      <w:r w:rsidRPr="00AE4FCC">
        <w:rPr>
          <w:color w:val="000000"/>
          <w:szCs w:val="24"/>
        </w:rPr>
        <w:t>, 20 (Spring 1990), 521-60.</w:t>
      </w:r>
    </w:p>
    <w:p w14:paraId="06760078"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77FCABEB"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 xml:space="preserve">“Before </w:t>
      </w:r>
      <w:r w:rsidRPr="00AE4FCC">
        <w:rPr>
          <w:i/>
          <w:color w:val="000000"/>
          <w:szCs w:val="24"/>
        </w:rPr>
        <w:t>Plessy</w:t>
      </w:r>
      <w:r w:rsidRPr="00AE4FCC">
        <w:rPr>
          <w:color w:val="000000"/>
          <w:szCs w:val="24"/>
        </w:rPr>
        <w:t xml:space="preserve">, Before </w:t>
      </w:r>
      <w:r w:rsidRPr="00AE4FCC">
        <w:rPr>
          <w:i/>
          <w:color w:val="000000"/>
          <w:szCs w:val="24"/>
        </w:rPr>
        <w:t>Brown</w:t>
      </w:r>
      <w:r w:rsidRPr="00AE4FCC">
        <w:rPr>
          <w:color w:val="000000"/>
          <w:szCs w:val="24"/>
        </w:rPr>
        <w:t>: The Development of the Law of Racial Integration in Louisiana and Kansas,” in Paul Finkelman and Stephen C. Gottlieb, eds.,</w:t>
      </w:r>
      <w:r w:rsidR="008F6761" w:rsidRPr="00AE4FCC">
        <w:rPr>
          <w:color w:val="000000"/>
          <w:szCs w:val="24"/>
        </w:rPr>
        <w:t xml:space="preserve"> </w:t>
      </w:r>
      <w:r w:rsidRPr="00AE4FCC">
        <w:rPr>
          <w:i/>
          <w:color w:val="000000"/>
          <w:szCs w:val="24"/>
        </w:rPr>
        <w:t>Toward A Usable Past: Liberty Under State Governments</w:t>
      </w:r>
      <w:r w:rsidRPr="00AE4FCC">
        <w:rPr>
          <w:color w:val="000000"/>
          <w:szCs w:val="24"/>
        </w:rPr>
        <w:t xml:space="preserve"> (Athens, GA:</w:t>
      </w:r>
      <w:r w:rsidR="008F6761" w:rsidRPr="00AE4FCC">
        <w:rPr>
          <w:color w:val="000000"/>
          <w:szCs w:val="24"/>
        </w:rPr>
        <w:t xml:space="preserve"> </w:t>
      </w:r>
      <w:r w:rsidRPr="00AE4FCC">
        <w:rPr>
          <w:color w:val="000000"/>
          <w:szCs w:val="24"/>
        </w:rPr>
        <w:t>University of Georgia Press, 1991), 213-70.</w:t>
      </w:r>
    </w:p>
    <w:p w14:paraId="335C5CA5"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795AEC98"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 xml:space="preserve">“The State of Social Science History in the Late 1980s,” </w:t>
      </w:r>
      <w:r w:rsidR="00F23443" w:rsidRPr="00AE4FCC">
        <w:rPr>
          <w:color w:val="000000"/>
          <w:szCs w:val="24"/>
        </w:rPr>
        <w:t>in</w:t>
      </w:r>
      <w:r w:rsidRPr="00AE4FCC">
        <w:rPr>
          <w:color w:val="000000"/>
          <w:szCs w:val="24"/>
        </w:rPr>
        <w:t xml:space="preserve"> </w:t>
      </w:r>
      <w:r w:rsidRPr="00AE4FCC">
        <w:rPr>
          <w:i/>
          <w:color w:val="000000"/>
          <w:szCs w:val="24"/>
        </w:rPr>
        <w:t>Historical Methods</w:t>
      </w:r>
      <w:r w:rsidRPr="00AE4FCC">
        <w:rPr>
          <w:color w:val="000000"/>
          <w:szCs w:val="24"/>
        </w:rPr>
        <w:t>, 22 (1989), 13-20.</w:t>
      </w:r>
      <w:r w:rsidR="008F6761" w:rsidRPr="00AE4FCC">
        <w:rPr>
          <w:color w:val="000000"/>
          <w:szCs w:val="24"/>
        </w:rPr>
        <w:t xml:space="preserve"> </w:t>
      </w:r>
      <w:r w:rsidRPr="00AE4FCC">
        <w:rPr>
          <w:color w:val="000000"/>
          <w:szCs w:val="24"/>
        </w:rPr>
        <w:t>Shorter version in</w:t>
      </w:r>
      <w:r w:rsidR="008F6761" w:rsidRPr="00AE4FCC">
        <w:rPr>
          <w:color w:val="000000"/>
          <w:szCs w:val="24"/>
        </w:rPr>
        <w:t xml:space="preserve"> </w:t>
      </w:r>
      <w:r w:rsidRPr="00AE4FCC">
        <w:rPr>
          <w:i/>
          <w:color w:val="000000"/>
          <w:szCs w:val="24"/>
        </w:rPr>
        <w:t>OAH Newsletter</w:t>
      </w:r>
      <w:r w:rsidRPr="00AE4FCC">
        <w:rPr>
          <w:color w:val="000000"/>
          <w:szCs w:val="24"/>
        </w:rPr>
        <w:t>, 17:4 (November 1989), 4-5.</w:t>
      </w:r>
    </w:p>
    <w:p w14:paraId="30338E70"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44EC250C"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 xml:space="preserve">“Expert Witnesses, Rational Choice, and the Search for Intent,” </w:t>
      </w:r>
      <w:r w:rsidR="00F23443" w:rsidRPr="00AE4FCC">
        <w:rPr>
          <w:color w:val="000000"/>
          <w:szCs w:val="24"/>
        </w:rPr>
        <w:t>in</w:t>
      </w:r>
      <w:r w:rsidRPr="00AE4FCC">
        <w:rPr>
          <w:color w:val="000000"/>
          <w:szCs w:val="24"/>
        </w:rPr>
        <w:t xml:space="preserve"> </w:t>
      </w:r>
      <w:r w:rsidRPr="00AE4FCC">
        <w:rPr>
          <w:i/>
          <w:color w:val="000000"/>
          <w:szCs w:val="24"/>
        </w:rPr>
        <w:t>Constitutional Commentary</w:t>
      </w:r>
      <w:r w:rsidRPr="00AE4FCC">
        <w:rPr>
          <w:color w:val="000000"/>
          <w:szCs w:val="24"/>
        </w:rPr>
        <w:t>, 5 (1988), 349-73.</w:t>
      </w:r>
      <w:r w:rsidR="008F6761" w:rsidRPr="00AE4FCC">
        <w:rPr>
          <w:color w:val="000000"/>
          <w:szCs w:val="24"/>
        </w:rPr>
        <w:t xml:space="preserve"> </w:t>
      </w:r>
      <w:r w:rsidRPr="00AE4FCC">
        <w:rPr>
          <w:color w:val="000000"/>
          <w:szCs w:val="24"/>
        </w:rPr>
        <w:t xml:space="preserve">Reprinted in Jack N. </w:t>
      </w:r>
      <w:proofErr w:type="spellStart"/>
      <w:r w:rsidRPr="00AE4FCC">
        <w:rPr>
          <w:color w:val="000000"/>
          <w:szCs w:val="24"/>
        </w:rPr>
        <w:t>Raklove</w:t>
      </w:r>
      <w:proofErr w:type="spellEnd"/>
      <w:r w:rsidRPr="00AE4FCC">
        <w:rPr>
          <w:color w:val="000000"/>
          <w:szCs w:val="24"/>
        </w:rPr>
        <w:t>, ed.,</w:t>
      </w:r>
      <w:r w:rsidR="008F6761" w:rsidRPr="00AE4FCC">
        <w:rPr>
          <w:color w:val="000000"/>
          <w:szCs w:val="24"/>
        </w:rPr>
        <w:t xml:space="preserve"> </w:t>
      </w:r>
      <w:r w:rsidRPr="00AE4FCC">
        <w:rPr>
          <w:i/>
          <w:color w:val="000000"/>
          <w:szCs w:val="24"/>
        </w:rPr>
        <w:t>Interpreting the Constitution: The Debate Over Original Intent</w:t>
      </w:r>
      <w:r w:rsidRPr="00AE4FCC">
        <w:rPr>
          <w:color w:val="000000"/>
          <w:szCs w:val="24"/>
        </w:rPr>
        <w:t xml:space="preserve"> (Boston: Northeastern Univ. Press, 1990), 313-35.</w:t>
      </w:r>
    </w:p>
    <w:p w14:paraId="32560657"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293E0E4D"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“‘The Supremacy of Equal Rights':</w:t>
      </w:r>
      <w:r w:rsidR="008F6761" w:rsidRPr="00AE4FCC">
        <w:rPr>
          <w:color w:val="000000"/>
          <w:szCs w:val="24"/>
        </w:rPr>
        <w:t xml:space="preserve"> </w:t>
      </w:r>
      <w:r w:rsidRPr="00AE4FCC">
        <w:rPr>
          <w:color w:val="000000"/>
          <w:szCs w:val="24"/>
        </w:rPr>
        <w:t xml:space="preserve">The Struggle Against Racial Discrimination in Antebellum Massachusetts and The Foundations of The Fourteenth Amendment,” </w:t>
      </w:r>
      <w:r w:rsidR="00F23443" w:rsidRPr="00AE4FCC">
        <w:rPr>
          <w:color w:val="000000"/>
          <w:szCs w:val="24"/>
        </w:rPr>
        <w:t>in</w:t>
      </w:r>
      <w:r w:rsidRPr="00AE4FCC">
        <w:rPr>
          <w:color w:val="000000"/>
          <w:szCs w:val="24"/>
        </w:rPr>
        <w:t xml:space="preserve"> </w:t>
      </w:r>
      <w:r w:rsidRPr="00AE4FCC">
        <w:rPr>
          <w:i/>
          <w:color w:val="000000"/>
          <w:szCs w:val="24"/>
        </w:rPr>
        <w:t>Northwestern University Law Review</w:t>
      </w:r>
      <w:r w:rsidRPr="00AE4FCC">
        <w:rPr>
          <w:color w:val="000000"/>
          <w:szCs w:val="24"/>
        </w:rPr>
        <w:t>, 82 (1988), 941-1010.</w:t>
      </w:r>
      <w:r w:rsidR="008F6761" w:rsidRPr="00AE4FCC">
        <w:rPr>
          <w:color w:val="000000"/>
          <w:szCs w:val="24"/>
        </w:rPr>
        <w:t xml:space="preserve"> </w:t>
      </w:r>
      <w:r w:rsidRPr="00AE4FCC">
        <w:rPr>
          <w:color w:val="000000"/>
          <w:szCs w:val="24"/>
        </w:rPr>
        <w:t>Reprinted in Paul Finkelman, ed.,</w:t>
      </w:r>
      <w:r w:rsidR="008F6761" w:rsidRPr="00AE4FCC">
        <w:rPr>
          <w:color w:val="000000"/>
          <w:szCs w:val="24"/>
        </w:rPr>
        <w:t xml:space="preserve"> </w:t>
      </w:r>
      <w:r w:rsidRPr="00AE4FCC">
        <w:rPr>
          <w:i/>
          <w:color w:val="000000"/>
          <w:szCs w:val="24"/>
        </w:rPr>
        <w:t>Race, Law, and American History, 1700-1900</w:t>
      </w:r>
      <w:r w:rsidRPr="00AE4FCC">
        <w:rPr>
          <w:color w:val="000000"/>
          <w:szCs w:val="24"/>
        </w:rPr>
        <w:t xml:space="preserve"> (Hamden, CT: Garland, 1992).</w:t>
      </w:r>
    </w:p>
    <w:p w14:paraId="4CB75984"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30F209FA"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“Specification or Speculation?</w:t>
      </w:r>
      <w:r w:rsidR="008F6761" w:rsidRPr="00AE4FCC">
        <w:rPr>
          <w:color w:val="000000"/>
          <w:szCs w:val="24"/>
        </w:rPr>
        <w:t xml:space="preserve"> </w:t>
      </w:r>
      <w:r w:rsidRPr="00AE4FCC">
        <w:rPr>
          <w:color w:val="000000"/>
          <w:szCs w:val="24"/>
        </w:rPr>
        <w:t xml:space="preserve">A Note on Flanigan and Zingale,” </w:t>
      </w:r>
      <w:r w:rsidR="00F23443" w:rsidRPr="00AE4FCC">
        <w:rPr>
          <w:color w:val="000000"/>
          <w:szCs w:val="24"/>
        </w:rPr>
        <w:t>in</w:t>
      </w:r>
      <w:r w:rsidRPr="00AE4FCC">
        <w:rPr>
          <w:color w:val="000000"/>
          <w:szCs w:val="24"/>
        </w:rPr>
        <w:t xml:space="preserve"> </w:t>
      </w:r>
      <w:r w:rsidRPr="00AE4FCC">
        <w:rPr>
          <w:i/>
          <w:color w:val="000000"/>
          <w:szCs w:val="24"/>
        </w:rPr>
        <w:t>Social Science History</w:t>
      </w:r>
      <w:r w:rsidRPr="00AE4FCC">
        <w:rPr>
          <w:color w:val="000000"/>
          <w:szCs w:val="24"/>
        </w:rPr>
        <w:t>, 10 (1986), 71-84.</w:t>
      </w:r>
    </w:p>
    <w:p w14:paraId="50757A4F"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45E21545" w14:textId="77777777" w:rsidR="00F23443"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“Must Historians Regress?</w:t>
      </w:r>
      <w:r w:rsidR="008F6761" w:rsidRPr="00AE4FCC">
        <w:rPr>
          <w:color w:val="000000"/>
          <w:szCs w:val="24"/>
        </w:rPr>
        <w:t xml:space="preserve"> </w:t>
      </w:r>
      <w:r w:rsidRPr="00AE4FCC">
        <w:rPr>
          <w:color w:val="000000"/>
          <w:szCs w:val="24"/>
        </w:rPr>
        <w:t xml:space="preserve">An Answer to Lee Benson,” </w:t>
      </w:r>
      <w:r w:rsidR="00F23443" w:rsidRPr="00AE4FCC">
        <w:rPr>
          <w:color w:val="000000"/>
          <w:szCs w:val="24"/>
        </w:rPr>
        <w:t>in</w:t>
      </w:r>
      <w:r w:rsidRPr="00AE4FCC">
        <w:rPr>
          <w:color w:val="000000"/>
          <w:szCs w:val="24"/>
        </w:rPr>
        <w:t xml:space="preserve"> </w:t>
      </w:r>
      <w:r w:rsidRPr="00AE4FCC">
        <w:rPr>
          <w:i/>
          <w:color w:val="000000"/>
          <w:szCs w:val="24"/>
        </w:rPr>
        <w:t>Historical Methods</w:t>
      </w:r>
      <w:r w:rsidRPr="00AE4FCC">
        <w:rPr>
          <w:color w:val="000000"/>
          <w:szCs w:val="24"/>
        </w:rPr>
        <w:t>, 19 (1986), 62-</w:t>
      </w:r>
    </w:p>
    <w:p w14:paraId="0D56D97A" w14:textId="77777777" w:rsidR="00BD6321" w:rsidRPr="00AE4FCC" w:rsidRDefault="00F23443">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ab/>
      </w:r>
      <w:r w:rsidR="00BD6321" w:rsidRPr="00AE4FCC">
        <w:rPr>
          <w:color w:val="000000"/>
          <w:szCs w:val="24"/>
        </w:rPr>
        <w:t>81.</w:t>
      </w:r>
    </w:p>
    <w:p w14:paraId="57E1D5E4"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0DD76AFE"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 xml:space="preserve">“Origins of the Run-Off Primary,” </w:t>
      </w:r>
      <w:r w:rsidR="00F23443" w:rsidRPr="00AE4FCC">
        <w:rPr>
          <w:color w:val="000000"/>
          <w:szCs w:val="24"/>
        </w:rPr>
        <w:t>in</w:t>
      </w:r>
      <w:r w:rsidRPr="00AE4FCC">
        <w:rPr>
          <w:color w:val="000000"/>
          <w:szCs w:val="24"/>
        </w:rPr>
        <w:t xml:space="preserve"> </w:t>
      </w:r>
      <w:r w:rsidRPr="00AE4FCC">
        <w:rPr>
          <w:i/>
          <w:color w:val="000000"/>
          <w:szCs w:val="24"/>
        </w:rPr>
        <w:t>The Black Scholar</w:t>
      </w:r>
      <w:r w:rsidRPr="00AE4FCC">
        <w:rPr>
          <w:color w:val="000000"/>
          <w:szCs w:val="24"/>
        </w:rPr>
        <w:t>, 15 (September/October 1984), 23-26.</w:t>
      </w:r>
    </w:p>
    <w:p w14:paraId="1C30399D"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011EFD60"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 xml:space="preserve">“Are Political Acts Unnatural?,” </w:t>
      </w:r>
      <w:r w:rsidR="00F23443" w:rsidRPr="00AE4FCC">
        <w:rPr>
          <w:color w:val="000000"/>
          <w:szCs w:val="24"/>
        </w:rPr>
        <w:t xml:space="preserve">in </w:t>
      </w:r>
      <w:r w:rsidRPr="00AE4FCC">
        <w:rPr>
          <w:i/>
          <w:color w:val="000000"/>
          <w:szCs w:val="24"/>
        </w:rPr>
        <w:t>The Journal of Interdisciplinary History</w:t>
      </w:r>
      <w:r w:rsidRPr="00AE4FCC">
        <w:rPr>
          <w:color w:val="000000"/>
          <w:szCs w:val="24"/>
        </w:rPr>
        <w:t>, 15 (1985), 467-80.</w:t>
      </w:r>
    </w:p>
    <w:p w14:paraId="1CEB0E57"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0091D782"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“Are Expert Witnesses Whores?,”</w:t>
      </w:r>
      <w:r w:rsidR="00F23443" w:rsidRPr="00AE4FCC">
        <w:rPr>
          <w:color w:val="000000"/>
          <w:szCs w:val="24"/>
        </w:rPr>
        <w:t xml:space="preserve"> in</w:t>
      </w:r>
      <w:r w:rsidRPr="00AE4FCC">
        <w:rPr>
          <w:color w:val="000000"/>
          <w:szCs w:val="24"/>
        </w:rPr>
        <w:t xml:space="preserve"> </w:t>
      </w:r>
      <w:r w:rsidRPr="00AE4FCC">
        <w:rPr>
          <w:i/>
          <w:color w:val="000000"/>
          <w:szCs w:val="24"/>
        </w:rPr>
        <w:t>The Public Historian</w:t>
      </w:r>
      <w:r w:rsidRPr="00AE4FCC">
        <w:rPr>
          <w:color w:val="000000"/>
          <w:szCs w:val="24"/>
        </w:rPr>
        <w:t>, 6 (1984), 5-19.</w:t>
      </w:r>
      <w:r w:rsidR="008F6761" w:rsidRPr="00AE4FCC">
        <w:rPr>
          <w:color w:val="000000"/>
          <w:szCs w:val="24"/>
        </w:rPr>
        <w:t xml:space="preserve"> </w:t>
      </w:r>
      <w:r w:rsidRPr="00AE4FCC">
        <w:rPr>
          <w:color w:val="000000"/>
          <w:szCs w:val="24"/>
        </w:rPr>
        <w:t xml:space="preserve">Reprinted in Theodore J. </w:t>
      </w:r>
      <w:proofErr w:type="spellStart"/>
      <w:r w:rsidRPr="00AE4FCC">
        <w:rPr>
          <w:color w:val="000000"/>
          <w:szCs w:val="24"/>
        </w:rPr>
        <w:t>Karamanski</w:t>
      </w:r>
      <w:proofErr w:type="spellEnd"/>
      <w:r w:rsidRPr="00AE4FCC">
        <w:rPr>
          <w:color w:val="000000"/>
          <w:szCs w:val="24"/>
        </w:rPr>
        <w:t>, ed.,</w:t>
      </w:r>
      <w:r w:rsidR="008F6761" w:rsidRPr="00AE4FCC">
        <w:rPr>
          <w:color w:val="000000"/>
          <w:szCs w:val="24"/>
        </w:rPr>
        <w:t xml:space="preserve"> </w:t>
      </w:r>
      <w:r w:rsidRPr="00AE4FCC">
        <w:rPr>
          <w:i/>
          <w:color w:val="000000"/>
          <w:szCs w:val="24"/>
        </w:rPr>
        <w:t>Ethics &amp; Public History: An Anthology</w:t>
      </w:r>
      <w:r w:rsidRPr="00AE4FCC">
        <w:rPr>
          <w:color w:val="000000"/>
          <w:szCs w:val="24"/>
        </w:rPr>
        <w:t xml:space="preserve"> (Malabar, FL: Krieger, 1990), 31-44.</w:t>
      </w:r>
    </w:p>
    <w:p w14:paraId="7605422B" w14:textId="77777777" w:rsidR="002A4389" w:rsidRPr="00AE4FCC" w:rsidRDefault="002A4389">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p>
    <w:p w14:paraId="42C86D10" w14:textId="77777777" w:rsidR="002A4389" w:rsidRPr="00AE4FCC" w:rsidRDefault="002A4389" w:rsidP="00F23443">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i/>
          <w:color w:val="000000"/>
          <w:szCs w:val="24"/>
        </w:rPr>
      </w:pPr>
      <w:r w:rsidRPr="00AE4FCC">
        <w:rPr>
          <w:color w:val="000000"/>
          <w:szCs w:val="24"/>
        </w:rPr>
        <w:t>“The Revivalism of Narrative:</w:t>
      </w:r>
      <w:r w:rsidR="008F6761" w:rsidRPr="00AE4FCC">
        <w:rPr>
          <w:color w:val="000000"/>
          <w:szCs w:val="24"/>
        </w:rPr>
        <w:t xml:space="preserve"> </w:t>
      </w:r>
      <w:r w:rsidRPr="00AE4FCC">
        <w:rPr>
          <w:color w:val="000000"/>
          <w:szCs w:val="24"/>
        </w:rPr>
        <w:t xml:space="preserve">A Response to Recent Criticisms of Quantitative History,” </w:t>
      </w:r>
      <w:r w:rsidR="00F23443" w:rsidRPr="00AE4FCC">
        <w:rPr>
          <w:color w:val="000000"/>
          <w:szCs w:val="24"/>
        </w:rPr>
        <w:t xml:space="preserve">in </w:t>
      </w:r>
      <w:r w:rsidRPr="00AE4FCC">
        <w:rPr>
          <w:i/>
          <w:color w:val="000000"/>
          <w:szCs w:val="24"/>
        </w:rPr>
        <w:t>Social</w:t>
      </w:r>
      <w:r w:rsidR="00F23443" w:rsidRPr="00AE4FCC">
        <w:rPr>
          <w:i/>
          <w:color w:val="000000"/>
          <w:szCs w:val="24"/>
        </w:rPr>
        <w:t xml:space="preserve"> </w:t>
      </w:r>
      <w:r w:rsidRPr="00AE4FCC">
        <w:rPr>
          <w:i/>
          <w:color w:val="000000"/>
          <w:szCs w:val="24"/>
        </w:rPr>
        <w:t>Science History</w:t>
      </w:r>
      <w:r w:rsidRPr="00AE4FCC">
        <w:rPr>
          <w:color w:val="000000"/>
          <w:szCs w:val="24"/>
        </w:rPr>
        <w:t>, 8 (1984), 133-49.</w:t>
      </w:r>
    </w:p>
    <w:p w14:paraId="1E0CC8C5"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6B7EEBC1" w14:textId="77777777" w:rsidR="00BD6321" w:rsidRPr="00AE4FCC" w:rsidRDefault="002A4389">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“’New Political History:’</w:t>
      </w:r>
      <w:r w:rsidR="008F6761" w:rsidRPr="00AE4FCC">
        <w:rPr>
          <w:color w:val="000000"/>
          <w:szCs w:val="24"/>
        </w:rPr>
        <w:t xml:space="preserve"> </w:t>
      </w:r>
      <w:r w:rsidRPr="00AE4FCC">
        <w:rPr>
          <w:color w:val="000000"/>
          <w:szCs w:val="24"/>
        </w:rPr>
        <w:t xml:space="preserve">Some Statistical Questions Answered,” ( with Allan J. Lichtman), </w:t>
      </w:r>
    </w:p>
    <w:p w14:paraId="7F27422C" w14:textId="77777777" w:rsidR="002A4389" w:rsidRPr="00AE4FCC" w:rsidRDefault="002A4389">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ab/>
      </w:r>
      <w:r w:rsidR="00F23443" w:rsidRPr="00AE4FCC">
        <w:rPr>
          <w:color w:val="000000"/>
          <w:szCs w:val="24"/>
        </w:rPr>
        <w:t xml:space="preserve">in </w:t>
      </w:r>
      <w:r w:rsidRPr="00AE4FCC">
        <w:rPr>
          <w:i/>
          <w:color w:val="000000"/>
          <w:szCs w:val="24"/>
        </w:rPr>
        <w:t>Social Science History</w:t>
      </w:r>
      <w:r w:rsidRPr="00AE4FCC">
        <w:rPr>
          <w:color w:val="000000"/>
          <w:szCs w:val="24"/>
        </w:rPr>
        <w:t>, 7 (1983), 321-44.</w:t>
      </w:r>
    </w:p>
    <w:p w14:paraId="202283F4"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672CE5C1"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“Log-Linear Analysis of Contingency Tables:</w:t>
      </w:r>
      <w:r w:rsidR="008F6761" w:rsidRPr="00AE4FCC">
        <w:rPr>
          <w:color w:val="000000"/>
          <w:szCs w:val="24"/>
        </w:rPr>
        <w:t xml:space="preserve"> </w:t>
      </w:r>
      <w:r w:rsidRPr="00AE4FCC">
        <w:rPr>
          <w:color w:val="000000"/>
          <w:szCs w:val="24"/>
        </w:rPr>
        <w:t xml:space="preserve">An Introduction for Historians” (with Gary W. Cox and David W. </w:t>
      </w:r>
      <w:proofErr w:type="spellStart"/>
      <w:r w:rsidRPr="00AE4FCC">
        <w:rPr>
          <w:color w:val="000000"/>
          <w:szCs w:val="24"/>
        </w:rPr>
        <w:t>Galenson</w:t>
      </w:r>
      <w:proofErr w:type="spellEnd"/>
      <w:r w:rsidRPr="00AE4FCC">
        <w:rPr>
          <w:color w:val="000000"/>
          <w:szCs w:val="24"/>
        </w:rPr>
        <w:t xml:space="preserve">), </w:t>
      </w:r>
      <w:r w:rsidR="00F23443" w:rsidRPr="00AE4FCC">
        <w:rPr>
          <w:color w:val="000000"/>
          <w:szCs w:val="24"/>
        </w:rPr>
        <w:t>in</w:t>
      </w:r>
      <w:r w:rsidRPr="00AE4FCC">
        <w:rPr>
          <w:color w:val="000000"/>
          <w:szCs w:val="24"/>
        </w:rPr>
        <w:t xml:space="preserve"> </w:t>
      </w:r>
      <w:r w:rsidRPr="00AE4FCC">
        <w:rPr>
          <w:i/>
          <w:color w:val="000000"/>
          <w:szCs w:val="24"/>
        </w:rPr>
        <w:t>Historical Methods</w:t>
      </w:r>
      <w:r w:rsidRPr="00AE4FCC">
        <w:rPr>
          <w:color w:val="000000"/>
          <w:szCs w:val="24"/>
        </w:rPr>
        <w:t>, 15 (1982), 152-69.</w:t>
      </w:r>
    </w:p>
    <w:p w14:paraId="40770D35"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324279E7"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“C. Vann Woodward:</w:t>
      </w:r>
      <w:r w:rsidR="008F6761" w:rsidRPr="00AE4FCC">
        <w:rPr>
          <w:color w:val="000000"/>
          <w:szCs w:val="24"/>
        </w:rPr>
        <w:t xml:space="preserve"> </w:t>
      </w:r>
      <w:r w:rsidRPr="00AE4FCC">
        <w:rPr>
          <w:color w:val="000000"/>
          <w:szCs w:val="24"/>
        </w:rPr>
        <w:t xml:space="preserve">An Assessment of His Work and Influence” (with James M. McPherson), in Kousser and McPherson, eds., </w:t>
      </w:r>
      <w:r w:rsidRPr="00AE4FCC">
        <w:rPr>
          <w:i/>
          <w:color w:val="000000"/>
          <w:szCs w:val="24"/>
        </w:rPr>
        <w:t>Region, Race, and Reconstruction: Essays in Honor of</w:t>
      </w:r>
      <w:r w:rsidR="008F6761" w:rsidRPr="00AE4FCC">
        <w:rPr>
          <w:i/>
          <w:color w:val="000000"/>
          <w:szCs w:val="24"/>
        </w:rPr>
        <w:t xml:space="preserve"> </w:t>
      </w:r>
      <w:r w:rsidRPr="00AE4FCC">
        <w:rPr>
          <w:i/>
          <w:color w:val="000000"/>
          <w:szCs w:val="24"/>
        </w:rPr>
        <w:t>C. Vann Woodward</w:t>
      </w:r>
      <w:r w:rsidRPr="00AE4FCC">
        <w:rPr>
          <w:color w:val="000000"/>
          <w:szCs w:val="24"/>
        </w:rPr>
        <w:t>, xv-xxxix.</w:t>
      </w:r>
    </w:p>
    <w:p w14:paraId="3B4B6FFB"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5813BA96" w14:textId="77777777" w:rsidR="00296AC7"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 xml:space="preserve">“The Undermining of the First Reconstruction: Lessons for the Second,” in </w:t>
      </w:r>
      <w:r w:rsidRPr="00AE4FCC">
        <w:rPr>
          <w:i/>
          <w:color w:val="000000"/>
          <w:szCs w:val="24"/>
        </w:rPr>
        <w:t>Extension of the Voting Rights Act:</w:t>
      </w:r>
      <w:r w:rsidR="008F6761" w:rsidRPr="00AE4FCC">
        <w:rPr>
          <w:i/>
          <w:color w:val="000000"/>
          <w:szCs w:val="24"/>
        </w:rPr>
        <w:t xml:space="preserve"> </w:t>
      </w:r>
      <w:r w:rsidRPr="00AE4FCC">
        <w:rPr>
          <w:i/>
          <w:color w:val="000000"/>
          <w:szCs w:val="24"/>
        </w:rPr>
        <w:t>Hearings Before the Subcommittee on Civil and Constitutional Rights of the Committee on the Judiciary, House of Representatives</w:t>
      </w:r>
      <w:r w:rsidR="00296AC7" w:rsidRPr="00AE4FCC">
        <w:rPr>
          <w:color w:val="000000"/>
          <w:szCs w:val="24"/>
        </w:rPr>
        <w:t xml:space="preserve">, 97th Cong., l Sess. </w:t>
      </w:r>
      <w:r w:rsidRPr="00AE4FCC">
        <w:rPr>
          <w:color w:val="000000"/>
          <w:szCs w:val="24"/>
        </w:rPr>
        <w:t>(Washington:</w:t>
      </w:r>
      <w:r w:rsidR="008F6761" w:rsidRPr="00AE4FCC">
        <w:rPr>
          <w:color w:val="000000"/>
          <w:szCs w:val="24"/>
        </w:rPr>
        <w:t xml:space="preserve"> </w:t>
      </w:r>
      <w:r w:rsidRPr="00AE4FCC">
        <w:rPr>
          <w:color w:val="000000"/>
          <w:szCs w:val="24"/>
        </w:rPr>
        <w:t>G.P.O., 1982), 2009-2022.</w:t>
      </w:r>
      <w:r w:rsidR="008F6761" w:rsidRPr="00AE4FCC">
        <w:rPr>
          <w:color w:val="000000"/>
          <w:szCs w:val="24"/>
        </w:rPr>
        <w:t xml:space="preserve"> </w:t>
      </w:r>
      <w:r w:rsidRPr="00AE4FCC">
        <w:rPr>
          <w:color w:val="000000"/>
          <w:szCs w:val="24"/>
        </w:rPr>
        <w:t xml:space="preserve">Revised version published in Chandler </w:t>
      </w:r>
      <w:r w:rsidRPr="00AE4FCC">
        <w:rPr>
          <w:color w:val="000000"/>
          <w:szCs w:val="24"/>
        </w:rPr>
        <w:tab/>
      </w:r>
    </w:p>
    <w:p w14:paraId="07E9F47F" w14:textId="77777777" w:rsidR="00BD6321" w:rsidRPr="00AE4FCC" w:rsidRDefault="00296AC7">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ab/>
      </w:r>
      <w:r w:rsidR="00BD6321" w:rsidRPr="00AE4FCC">
        <w:rPr>
          <w:color w:val="000000"/>
          <w:szCs w:val="24"/>
        </w:rPr>
        <w:t>Davidson, ed.,</w:t>
      </w:r>
      <w:r w:rsidR="008F6761" w:rsidRPr="00AE4FCC">
        <w:rPr>
          <w:color w:val="000000"/>
          <w:szCs w:val="24"/>
        </w:rPr>
        <w:t xml:space="preserve"> </w:t>
      </w:r>
      <w:r w:rsidR="00BD6321" w:rsidRPr="00AE4FCC">
        <w:rPr>
          <w:i/>
          <w:color w:val="000000"/>
          <w:szCs w:val="24"/>
        </w:rPr>
        <w:t>Minority Vote Dilution</w:t>
      </w:r>
      <w:r w:rsidR="00BD6321" w:rsidRPr="00AE4FCC">
        <w:rPr>
          <w:color w:val="000000"/>
          <w:szCs w:val="24"/>
        </w:rPr>
        <w:t xml:space="preserve"> (Washington, D. C.:</w:t>
      </w:r>
      <w:r w:rsidR="008F6761" w:rsidRPr="00AE4FCC">
        <w:rPr>
          <w:color w:val="000000"/>
          <w:szCs w:val="24"/>
        </w:rPr>
        <w:t xml:space="preserve"> </w:t>
      </w:r>
      <w:r w:rsidR="00BD6321" w:rsidRPr="00AE4FCC">
        <w:rPr>
          <w:color w:val="000000"/>
          <w:szCs w:val="24"/>
        </w:rPr>
        <w:t>Howard University Press, 1984), 27-46.</w:t>
      </w:r>
    </w:p>
    <w:p w14:paraId="3555641C"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27EE53F3"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“Restoring Politics to Political History”</w:t>
      </w:r>
      <w:r w:rsidR="00F23443" w:rsidRPr="00AE4FCC">
        <w:rPr>
          <w:color w:val="000000"/>
          <w:szCs w:val="24"/>
        </w:rPr>
        <w:t xml:space="preserve"> in the </w:t>
      </w:r>
      <w:r w:rsidRPr="00AE4FCC">
        <w:rPr>
          <w:i/>
          <w:color w:val="000000"/>
          <w:szCs w:val="24"/>
        </w:rPr>
        <w:t>Journal of Interdisciplinary History</w:t>
      </w:r>
      <w:r w:rsidRPr="00AE4FCC">
        <w:rPr>
          <w:color w:val="000000"/>
          <w:szCs w:val="24"/>
        </w:rPr>
        <w:t xml:space="preserve">, 12 (Spring 1982), 569-95, reprinted in Robert I. Rotberg, ed., </w:t>
      </w:r>
      <w:r w:rsidR="00F23443" w:rsidRPr="00AE4FCC">
        <w:rPr>
          <w:color w:val="000000"/>
          <w:szCs w:val="24"/>
        </w:rPr>
        <w:t xml:space="preserve">in </w:t>
      </w:r>
      <w:r w:rsidRPr="00AE4FCC">
        <w:rPr>
          <w:i/>
          <w:color w:val="000000"/>
          <w:szCs w:val="24"/>
        </w:rPr>
        <w:t>Politics and Political Change</w:t>
      </w:r>
      <w:r w:rsidRPr="00AE4FCC">
        <w:rPr>
          <w:color w:val="000000"/>
          <w:szCs w:val="24"/>
        </w:rPr>
        <w:t xml:space="preserve"> (Cambridge, Mass.: MIT Press, 2001), 19-46.</w:t>
      </w:r>
    </w:p>
    <w:p w14:paraId="7D175994" w14:textId="77777777" w:rsidR="002478E5" w:rsidRPr="00AE4FCC" w:rsidRDefault="002478E5">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p>
    <w:p w14:paraId="03D48DD6" w14:textId="77777777" w:rsidR="002478E5" w:rsidRPr="00AE4FCC" w:rsidRDefault="002478E5">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“History as Past Sociology in the Work of Samuel P. Hays:</w:t>
      </w:r>
      <w:r w:rsidR="008F6761" w:rsidRPr="00AE4FCC">
        <w:rPr>
          <w:color w:val="000000"/>
          <w:szCs w:val="24"/>
        </w:rPr>
        <w:t xml:space="preserve"> </w:t>
      </w:r>
      <w:r w:rsidRPr="00AE4FCC">
        <w:rPr>
          <w:color w:val="000000"/>
          <w:szCs w:val="24"/>
        </w:rPr>
        <w:t>A Review Essay,”</w:t>
      </w:r>
      <w:r w:rsidR="00F23443" w:rsidRPr="00AE4FCC">
        <w:rPr>
          <w:color w:val="000000"/>
          <w:szCs w:val="24"/>
        </w:rPr>
        <w:t xml:space="preserve"> in</w:t>
      </w:r>
      <w:r w:rsidRPr="00AE4FCC">
        <w:rPr>
          <w:color w:val="000000"/>
          <w:szCs w:val="24"/>
        </w:rPr>
        <w:t xml:space="preserve"> </w:t>
      </w:r>
      <w:r w:rsidRPr="00AE4FCC">
        <w:rPr>
          <w:i/>
          <w:color w:val="000000"/>
          <w:szCs w:val="24"/>
        </w:rPr>
        <w:t>Historical Methods</w:t>
      </w:r>
      <w:r w:rsidRPr="00AE4FCC">
        <w:rPr>
          <w:color w:val="000000"/>
          <w:szCs w:val="24"/>
        </w:rPr>
        <w:t>, 14 (Fall 1981), 181-86.</w:t>
      </w:r>
    </w:p>
    <w:p w14:paraId="0C520304"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414A73BD" w14:textId="77777777" w:rsidR="002A4389" w:rsidRPr="00AE4FCC" w:rsidRDefault="002A4389">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i/>
          <w:color w:val="000000"/>
          <w:szCs w:val="24"/>
        </w:rPr>
      </w:pPr>
      <w:r w:rsidRPr="00AE4FCC">
        <w:rPr>
          <w:color w:val="000000"/>
          <w:szCs w:val="24"/>
        </w:rPr>
        <w:t>“Turnout and Rural Corruption:</w:t>
      </w:r>
      <w:r w:rsidR="008F6761" w:rsidRPr="00AE4FCC">
        <w:rPr>
          <w:color w:val="000000"/>
          <w:szCs w:val="24"/>
        </w:rPr>
        <w:t xml:space="preserve"> </w:t>
      </w:r>
      <w:r w:rsidRPr="00AE4FCC">
        <w:rPr>
          <w:color w:val="000000"/>
          <w:szCs w:val="24"/>
        </w:rPr>
        <w:t xml:space="preserve">New York as a Test Case,” (with Gary W. Cox), </w:t>
      </w:r>
      <w:r w:rsidR="00F23443" w:rsidRPr="00AE4FCC">
        <w:rPr>
          <w:color w:val="000000"/>
          <w:szCs w:val="24"/>
        </w:rPr>
        <w:t xml:space="preserve">in </w:t>
      </w:r>
      <w:r w:rsidRPr="00AE4FCC">
        <w:rPr>
          <w:i/>
          <w:color w:val="000000"/>
          <w:szCs w:val="24"/>
        </w:rPr>
        <w:t>American</w:t>
      </w:r>
    </w:p>
    <w:p w14:paraId="6046F7D8" w14:textId="77777777" w:rsidR="002A4389" w:rsidRPr="00AE4FCC" w:rsidRDefault="002A4389">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i/>
          <w:color w:val="000000"/>
          <w:szCs w:val="24"/>
        </w:rPr>
        <w:tab/>
        <w:t>Journal of Political Science</w:t>
      </w:r>
      <w:r w:rsidRPr="00AE4FCC">
        <w:rPr>
          <w:color w:val="000000"/>
          <w:szCs w:val="24"/>
        </w:rPr>
        <w:t>, 25 (November 1981), 646-63.</w:t>
      </w:r>
    </w:p>
    <w:p w14:paraId="1D9EFFAC"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77C33A07" w14:textId="77777777" w:rsidR="00BD6321" w:rsidRPr="00AE4FCC" w:rsidRDefault="002A4389">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 xml:space="preserve"> </w:t>
      </w:r>
      <w:r w:rsidR="00BD6321" w:rsidRPr="00AE4FCC">
        <w:rPr>
          <w:color w:val="000000"/>
          <w:szCs w:val="24"/>
        </w:rPr>
        <w:t xml:space="preserve">“History </w:t>
      </w:r>
      <w:proofErr w:type="spellStart"/>
      <w:r w:rsidR="00BD6321" w:rsidRPr="00AE4FCC">
        <w:rPr>
          <w:color w:val="000000"/>
          <w:szCs w:val="24"/>
        </w:rPr>
        <w:t>QUASSHed</w:t>
      </w:r>
      <w:proofErr w:type="spellEnd"/>
      <w:r w:rsidR="00BD6321" w:rsidRPr="00AE4FCC">
        <w:rPr>
          <w:color w:val="000000"/>
          <w:szCs w:val="24"/>
        </w:rPr>
        <w:t>, 1957-1980,”</w:t>
      </w:r>
      <w:r w:rsidR="00F23443" w:rsidRPr="00AE4FCC">
        <w:rPr>
          <w:color w:val="000000"/>
          <w:szCs w:val="24"/>
        </w:rPr>
        <w:t xml:space="preserve"> in</w:t>
      </w:r>
      <w:r w:rsidR="008F6761" w:rsidRPr="00AE4FCC">
        <w:rPr>
          <w:color w:val="000000"/>
          <w:szCs w:val="24"/>
        </w:rPr>
        <w:t xml:space="preserve"> </w:t>
      </w:r>
      <w:r w:rsidR="00BD6321" w:rsidRPr="00AE4FCC">
        <w:rPr>
          <w:i/>
          <w:color w:val="000000"/>
          <w:szCs w:val="24"/>
        </w:rPr>
        <w:t>American Behavioral Scientist</w:t>
      </w:r>
      <w:r w:rsidR="00BD6321" w:rsidRPr="00AE4FCC">
        <w:rPr>
          <w:color w:val="000000"/>
          <w:szCs w:val="24"/>
        </w:rPr>
        <w:t>, 23 (1980), 885-904.</w:t>
      </w:r>
    </w:p>
    <w:p w14:paraId="179628DD" w14:textId="77777777" w:rsidR="002478E5" w:rsidRPr="00AE4FCC" w:rsidRDefault="002478E5">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76AA65BF" w14:textId="77777777" w:rsidR="002478E5" w:rsidRPr="00AE4FCC" w:rsidRDefault="002478E5">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“Making Separate Equal:</w:t>
      </w:r>
      <w:r w:rsidR="008F6761" w:rsidRPr="00AE4FCC">
        <w:rPr>
          <w:color w:val="000000"/>
          <w:szCs w:val="24"/>
        </w:rPr>
        <w:t xml:space="preserve"> </w:t>
      </w:r>
      <w:r w:rsidRPr="00AE4FCC">
        <w:rPr>
          <w:color w:val="000000"/>
          <w:szCs w:val="24"/>
        </w:rPr>
        <w:t>The Integration of Black and White School Funds in Kentucky,”</w:t>
      </w:r>
    </w:p>
    <w:p w14:paraId="020E4AD3" w14:textId="77777777" w:rsidR="002478E5" w:rsidRPr="00AE4FCC" w:rsidRDefault="002478E5">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ab/>
      </w:r>
      <w:r w:rsidR="00F23443" w:rsidRPr="00AE4FCC">
        <w:rPr>
          <w:color w:val="000000"/>
          <w:szCs w:val="24"/>
        </w:rPr>
        <w:t xml:space="preserve">in </w:t>
      </w:r>
      <w:r w:rsidRPr="00AE4FCC">
        <w:rPr>
          <w:i/>
          <w:color w:val="000000"/>
          <w:szCs w:val="24"/>
        </w:rPr>
        <w:t>Journal of Interdisciplinary History</w:t>
      </w:r>
      <w:r w:rsidRPr="00AE4FCC">
        <w:rPr>
          <w:color w:val="000000"/>
          <w:szCs w:val="24"/>
        </w:rPr>
        <w:t xml:space="preserve">, 10 (1979), 399-428 and </w:t>
      </w:r>
      <w:r w:rsidRPr="00AE4FCC">
        <w:rPr>
          <w:i/>
          <w:color w:val="000000"/>
          <w:szCs w:val="24"/>
        </w:rPr>
        <w:t>ibid</w:t>
      </w:r>
      <w:r w:rsidRPr="00AE4FCC">
        <w:rPr>
          <w:color w:val="000000"/>
          <w:szCs w:val="24"/>
        </w:rPr>
        <w:t>., 12 (1982), 509-13.</w:t>
      </w:r>
    </w:p>
    <w:p w14:paraId="79592CA2"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6D123498"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 xml:space="preserve">“Quantitative Social Scientific History,” in Michael </w:t>
      </w:r>
      <w:proofErr w:type="spellStart"/>
      <w:r w:rsidRPr="00AE4FCC">
        <w:rPr>
          <w:color w:val="000000"/>
          <w:szCs w:val="24"/>
        </w:rPr>
        <w:t>Kammen</w:t>
      </w:r>
      <w:proofErr w:type="spellEnd"/>
      <w:r w:rsidRPr="00AE4FCC">
        <w:rPr>
          <w:color w:val="000000"/>
          <w:szCs w:val="24"/>
        </w:rPr>
        <w:t xml:space="preserve">, ed., </w:t>
      </w:r>
      <w:r w:rsidR="00F23443" w:rsidRPr="00AE4FCC">
        <w:rPr>
          <w:color w:val="000000"/>
          <w:szCs w:val="24"/>
        </w:rPr>
        <w:t>in</w:t>
      </w:r>
      <w:r w:rsidR="00296AC7" w:rsidRPr="00AE4FCC">
        <w:rPr>
          <w:i/>
          <w:color w:val="000000"/>
          <w:szCs w:val="24"/>
        </w:rPr>
        <w:t xml:space="preserve"> The Past Before Us:</w:t>
      </w:r>
      <w:r w:rsidR="008F6761" w:rsidRPr="00AE4FCC">
        <w:rPr>
          <w:i/>
          <w:color w:val="000000"/>
          <w:szCs w:val="24"/>
        </w:rPr>
        <w:t xml:space="preserve"> </w:t>
      </w:r>
      <w:r w:rsidRPr="00AE4FCC">
        <w:rPr>
          <w:i/>
          <w:color w:val="000000"/>
          <w:szCs w:val="24"/>
        </w:rPr>
        <w:t>Contemporary Historical Writing in the U.S.</w:t>
      </w:r>
      <w:r w:rsidRPr="00AE4FCC">
        <w:rPr>
          <w:color w:val="000000"/>
          <w:szCs w:val="24"/>
        </w:rPr>
        <w:t xml:space="preserve"> (Ithaca: Cornell University Press, 1980), 433-56.</w:t>
      </w:r>
    </w:p>
    <w:p w14:paraId="6E7891CB"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227E0C36"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58A74A02"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“Progressivism for Middle-Class Whites Only:</w:t>
      </w:r>
      <w:r w:rsidR="008F6761" w:rsidRPr="00AE4FCC">
        <w:rPr>
          <w:color w:val="000000"/>
          <w:szCs w:val="24"/>
        </w:rPr>
        <w:t xml:space="preserve"> </w:t>
      </w:r>
      <w:r w:rsidRPr="00AE4FCC">
        <w:rPr>
          <w:color w:val="000000"/>
          <w:szCs w:val="24"/>
        </w:rPr>
        <w:t>The Distributio</w:t>
      </w:r>
      <w:r w:rsidR="002478E5" w:rsidRPr="00AE4FCC">
        <w:rPr>
          <w:color w:val="000000"/>
          <w:szCs w:val="24"/>
        </w:rPr>
        <w:t xml:space="preserve">n of Taxation and Expenditures </w:t>
      </w:r>
      <w:r w:rsidRPr="00AE4FCC">
        <w:rPr>
          <w:color w:val="000000"/>
          <w:szCs w:val="24"/>
        </w:rPr>
        <w:t>for Education in North Carolina, 1880-1910,”</w:t>
      </w:r>
      <w:r w:rsidR="00F23443" w:rsidRPr="00AE4FCC">
        <w:rPr>
          <w:color w:val="000000"/>
          <w:szCs w:val="24"/>
        </w:rPr>
        <w:t xml:space="preserve"> in</w:t>
      </w:r>
      <w:r w:rsidR="008F6761" w:rsidRPr="00AE4FCC">
        <w:rPr>
          <w:color w:val="000000"/>
          <w:szCs w:val="24"/>
        </w:rPr>
        <w:t xml:space="preserve"> </w:t>
      </w:r>
      <w:r w:rsidRPr="00AE4FCC">
        <w:rPr>
          <w:i/>
          <w:color w:val="000000"/>
          <w:szCs w:val="24"/>
        </w:rPr>
        <w:t>Journal of Southern History</w:t>
      </w:r>
      <w:r w:rsidR="002478E5" w:rsidRPr="00AE4FCC">
        <w:rPr>
          <w:color w:val="000000"/>
          <w:szCs w:val="24"/>
        </w:rPr>
        <w:t xml:space="preserve">, 46 (1980), </w:t>
      </w:r>
      <w:r w:rsidRPr="00AE4FCC">
        <w:rPr>
          <w:color w:val="000000"/>
          <w:szCs w:val="24"/>
        </w:rPr>
        <w:t>169-94.</w:t>
      </w:r>
      <w:r w:rsidR="008F6761" w:rsidRPr="00AE4FCC">
        <w:rPr>
          <w:color w:val="000000"/>
          <w:szCs w:val="24"/>
        </w:rPr>
        <w:t xml:space="preserve"> </w:t>
      </w:r>
      <w:r w:rsidRPr="00AE4FCC">
        <w:rPr>
          <w:color w:val="000000"/>
          <w:szCs w:val="24"/>
        </w:rPr>
        <w:tab/>
      </w:r>
      <w:r w:rsidRPr="00AE4FCC">
        <w:rPr>
          <w:color w:val="000000"/>
          <w:szCs w:val="24"/>
        </w:rPr>
        <w:tab/>
      </w:r>
      <w:r w:rsidRPr="00AE4FCC">
        <w:rPr>
          <w:color w:val="000000"/>
          <w:szCs w:val="24"/>
        </w:rPr>
        <w:tab/>
      </w:r>
    </w:p>
    <w:p w14:paraId="24CF1920"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3803B7C4"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 xml:space="preserve">“Separate But </w:t>
      </w:r>
      <w:r w:rsidRPr="00AE4FCC">
        <w:rPr>
          <w:i/>
          <w:color w:val="000000"/>
          <w:szCs w:val="24"/>
        </w:rPr>
        <w:t>Not</w:t>
      </w:r>
      <w:r w:rsidRPr="00AE4FCC">
        <w:rPr>
          <w:color w:val="000000"/>
          <w:szCs w:val="24"/>
        </w:rPr>
        <w:t xml:space="preserve"> Equal:</w:t>
      </w:r>
      <w:r w:rsidR="008F6761" w:rsidRPr="00AE4FCC">
        <w:rPr>
          <w:color w:val="000000"/>
          <w:szCs w:val="24"/>
        </w:rPr>
        <w:t xml:space="preserve"> </w:t>
      </w:r>
      <w:r w:rsidRPr="00AE4FCC">
        <w:rPr>
          <w:color w:val="000000"/>
          <w:szCs w:val="24"/>
        </w:rPr>
        <w:t>The First Supreme Court Ca</w:t>
      </w:r>
      <w:r w:rsidR="00296AC7" w:rsidRPr="00AE4FCC">
        <w:rPr>
          <w:color w:val="000000"/>
          <w:szCs w:val="24"/>
        </w:rPr>
        <w:t xml:space="preserve">se on Racial Discrimination in </w:t>
      </w:r>
      <w:r w:rsidRPr="00AE4FCC">
        <w:rPr>
          <w:color w:val="000000"/>
          <w:szCs w:val="24"/>
        </w:rPr>
        <w:t xml:space="preserve">Education,” </w:t>
      </w:r>
      <w:r w:rsidR="00F23443" w:rsidRPr="00AE4FCC">
        <w:rPr>
          <w:color w:val="000000"/>
          <w:szCs w:val="24"/>
        </w:rPr>
        <w:t>in</w:t>
      </w:r>
      <w:r w:rsidR="00F23443" w:rsidRPr="00AE4FCC">
        <w:rPr>
          <w:i/>
          <w:iCs/>
          <w:color w:val="000000"/>
          <w:szCs w:val="24"/>
        </w:rPr>
        <w:t xml:space="preserve"> </w:t>
      </w:r>
      <w:r w:rsidRPr="00AE4FCC">
        <w:rPr>
          <w:i/>
          <w:color w:val="000000"/>
          <w:szCs w:val="24"/>
        </w:rPr>
        <w:t>Journal of Southern History</w:t>
      </w:r>
      <w:r w:rsidRPr="00AE4FCC">
        <w:rPr>
          <w:color w:val="000000"/>
          <w:szCs w:val="24"/>
        </w:rPr>
        <w:t>, 46 (1980), 17-44.</w:t>
      </w:r>
      <w:r w:rsidR="008F6761" w:rsidRPr="00AE4FCC">
        <w:rPr>
          <w:color w:val="000000"/>
          <w:szCs w:val="24"/>
        </w:rPr>
        <w:t xml:space="preserve"> </w:t>
      </w:r>
      <w:r w:rsidRPr="00AE4FCC">
        <w:rPr>
          <w:color w:val="000000"/>
          <w:szCs w:val="24"/>
        </w:rPr>
        <w:t xml:space="preserve">Reprinted in Kermit L. Hall, </w:t>
      </w:r>
      <w:r w:rsidRPr="00AE4FCC">
        <w:rPr>
          <w:i/>
          <w:color w:val="000000"/>
          <w:szCs w:val="24"/>
        </w:rPr>
        <w:tab/>
        <w:t>Civil Rights in American History</w:t>
      </w:r>
      <w:r w:rsidRPr="00AE4FCC">
        <w:rPr>
          <w:color w:val="000000"/>
          <w:szCs w:val="24"/>
        </w:rPr>
        <w:t xml:space="preserve"> (Garland Pub. Co., 1989); in Paul Finkelman,</w:t>
      </w:r>
      <w:r w:rsidR="008F6761" w:rsidRPr="00AE4FCC">
        <w:rPr>
          <w:color w:val="000000"/>
          <w:szCs w:val="24"/>
        </w:rPr>
        <w:t xml:space="preserve"> </w:t>
      </w:r>
      <w:r w:rsidRPr="00AE4FCC">
        <w:rPr>
          <w:color w:val="000000"/>
          <w:szCs w:val="24"/>
        </w:rPr>
        <w:t xml:space="preserve">Race, </w:t>
      </w:r>
      <w:r w:rsidRPr="00AE4FCC">
        <w:rPr>
          <w:color w:val="000000"/>
          <w:szCs w:val="24"/>
        </w:rPr>
        <w:tab/>
        <w:t xml:space="preserve">Law, </w:t>
      </w:r>
      <w:r w:rsidRPr="00AE4FCC">
        <w:rPr>
          <w:color w:val="000000"/>
          <w:szCs w:val="24"/>
        </w:rPr>
        <w:lastRenderedPageBreak/>
        <w:t>and American History, 1700-1900 (Hamden, CT: Garland, 1992).</w:t>
      </w:r>
    </w:p>
    <w:p w14:paraId="01ADBD90"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014DEB3F"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“The Agenda for ‘Social Science History',”</w:t>
      </w:r>
      <w:r w:rsidR="00F23443" w:rsidRPr="00AE4FCC">
        <w:rPr>
          <w:color w:val="000000"/>
          <w:szCs w:val="24"/>
        </w:rPr>
        <w:t xml:space="preserve"> in</w:t>
      </w:r>
      <w:r w:rsidRPr="00AE4FCC">
        <w:rPr>
          <w:color w:val="000000"/>
          <w:szCs w:val="24"/>
        </w:rPr>
        <w:t xml:space="preserve"> </w:t>
      </w:r>
      <w:r w:rsidRPr="00AE4FCC">
        <w:rPr>
          <w:i/>
          <w:color w:val="000000"/>
          <w:szCs w:val="24"/>
        </w:rPr>
        <w:t>Social Science History</w:t>
      </w:r>
      <w:r w:rsidRPr="00AE4FCC">
        <w:rPr>
          <w:color w:val="000000"/>
          <w:szCs w:val="24"/>
        </w:rPr>
        <w:t>, 1 (1977), 383-91.</w:t>
      </w:r>
    </w:p>
    <w:p w14:paraId="254690A1" w14:textId="77777777" w:rsidR="0036285D" w:rsidRPr="00AE4FCC" w:rsidRDefault="0036285D">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1F273891"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“The `New Political History':</w:t>
      </w:r>
      <w:r w:rsidR="008F6761" w:rsidRPr="00AE4FCC">
        <w:rPr>
          <w:color w:val="000000"/>
          <w:szCs w:val="24"/>
        </w:rPr>
        <w:t xml:space="preserve"> </w:t>
      </w:r>
      <w:r w:rsidRPr="00AE4FCC">
        <w:rPr>
          <w:color w:val="000000"/>
          <w:szCs w:val="24"/>
        </w:rPr>
        <w:t xml:space="preserve">A Methodological Critique,” </w:t>
      </w:r>
      <w:r w:rsidR="00F23443" w:rsidRPr="00AE4FCC">
        <w:rPr>
          <w:color w:val="000000"/>
          <w:szCs w:val="24"/>
        </w:rPr>
        <w:t>in</w:t>
      </w:r>
      <w:r w:rsidRPr="00AE4FCC">
        <w:rPr>
          <w:color w:val="000000"/>
          <w:szCs w:val="24"/>
        </w:rPr>
        <w:t xml:space="preserve"> </w:t>
      </w:r>
      <w:r w:rsidRPr="00AE4FCC">
        <w:rPr>
          <w:i/>
          <w:color w:val="000000"/>
          <w:szCs w:val="24"/>
        </w:rPr>
        <w:t>Reviews in American History</w:t>
      </w:r>
      <w:r w:rsidRPr="00AE4FCC">
        <w:rPr>
          <w:color w:val="000000"/>
          <w:szCs w:val="24"/>
        </w:rPr>
        <w:t xml:space="preserve">, 4 </w:t>
      </w:r>
      <w:r w:rsidRPr="00AE4FCC">
        <w:rPr>
          <w:color w:val="000000"/>
          <w:szCs w:val="24"/>
        </w:rPr>
        <w:tab/>
        <w:t>(March 1976), 1-14.</w:t>
      </w:r>
    </w:p>
    <w:p w14:paraId="3EB1CF55"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466BB7FF"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 xml:space="preserve">“A Black Protest in the `Era of Accommodation',” </w:t>
      </w:r>
      <w:r w:rsidR="00F23443" w:rsidRPr="00AE4FCC">
        <w:rPr>
          <w:color w:val="000000"/>
          <w:szCs w:val="24"/>
        </w:rPr>
        <w:t xml:space="preserve">in </w:t>
      </w:r>
      <w:r w:rsidRPr="00AE4FCC">
        <w:rPr>
          <w:i/>
          <w:color w:val="000000"/>
          <w:szCs w:val="24"/>
        </w:rPr>
        <w:t>Arkansas Historical Quarterly</w:t>
      </w:r>
      <w:r w:rsidRPr="00AE4FCC">
        <w:rPr>
          <w:color w:val="000000"/>
          <w:szCs w:val="24"/>
        </w:rPr>
        <w:t xml:space="preserve">, 34 (1975), </w:t>
      </w:r>
      <w:r w:rsidRPr="00AE4FCC">
        <w:rPr>
          <w:color w:val="000000"/>
          <w:szCs w:val="24"/>
        </w:rPr>
        <w:tab/>
        <w:t xml:space="preserve">149-178. </w:t>
      </w:r>
    </w:p>
    <w:p w14:paraId="2D7E9824"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6C9F6322"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“Post-Reconstruction Suffrage Restrictions in Tennessee:</w:t>
      </w:r>
      <w:r w:rsidR="008F6761" w:rsidRPr="00AE4FCC">
        <w:rPr>
          <w:color w:val="000000"/>
          <w:szCs w:val="24"/>
        </w:rPr>
        <w:t xml:space="preserve"> </w:t>
      </w:r>
      <w:r w:rsidRPr="00AE4FCC">
        <w:rPr>
          <w:color w:val="000000"/>
          <w:szCs w:val="24"/>
        </w:rPr>
        <w:t xml:space="preserve">A New Look at the V. O. Key Thesis,” </w:t>
      </w:r>
      <w:r w:rsidR="00F23443" w:rsidRPr="00AE4FCC">
        <w:rPr>
          <w:color w:val="000000"/>
          <w:szCs w:val="24"/>
        </w:rPr>
        <w:t xml:space="preserve">in </w:t>
      </w:r>
      <w:r w:rsidRPr="00AE4FCC">
        <w:rPr>
          <w:i/>
          <w:color w:val="000000"/>
          <w:szCs w:val="24"/>
        </w:rPr>
        <w:t>Political Science Quarterly</w:t>
      </w:r>
      <w:r w:rsidRPr="00AE4FCC">
        <w:rPr>
          <w:color w:val="000000"/>
          <w:szCs w:val="24"/>
        </w:rPr>
        <w:t>, 88:4 (December 1973), 655-683.</w:t>
      </w:r>
      <w:r w:rsidR="008F6761" w:rsidRPr="00AE4FCC">
        <w:rPr>
          <w:color w:val="000000"/>
          <w:szCs w:val="24"/>
        </w:rPr>
        <w:t xml:space="preserve"> </w:t>
      </w:r>
      <w:r w:rsidRPr="00AE4FCC">
        <w:rPr>
          <w:color w:val="000000"/>
          <w:szCs w:val="24"/>
        </w:rPr>
        <w:t xml:space="preserve">Reprinted in Paul Finkelman, ed., </w:t>
      </w:r>
      <w:r w:rsidRPr="00AE4FCC">
        <w:rPr>
          <w:i/>
          <w:color w:val="000000"/>
          <w:szCs w:val="24"/>
        </w:rPr>
        <w:t>Race, Law, and American History, 1700-1900</w:t>
      </w:r>
      <w:r w:rsidRPr="00AE4FCC">
        <w:rPr>
          <w:color w:val="000000"/>
          <w:szCs w:val="24"/>
        </w:rPr>
        <w:t xml:space="preserve"> (Garland Pub. Co., 1992), and Robert F. Himmelberg, </w:t>
      </w:r>
      <w:r w:rsidRPr="00AE4FCC">
        <w:rPr>
          <w:i/>
          <w:color w:val="000000"/>
          <w:szCs w:val="24"/>
        </w:rPr>
        <w:t>Business and Government in America Since 1870</w:t>
      </w:r>
      <w:r w:rsidR="002478E5" w:rsidRPr="00AE4FCC">
        <w:rPr>
          <w:color w:val="000000"/>
          <w:szCs w:val="24"/>
        </w:rPr>
        <w:t xml:space="preserve"> (Garland </w:t>
      </w:r>
      <w:r w:rsidRPr="00AE4FCC">
        <w:rPr>
          <w:color w:val="000000"/>
          <w:szCs w:val="24"/>
        </w:rPr>
        <w:t>Pub. Co.).</w:t>
      </w:r>
    </w:p>
    <w:p w14:paraId="39AB0930"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718C3766"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“Ecological Regression and the Analysis of Past Politics,”</w:t>
      </w:r>
      <w:r w:rsidR="008F6761" w:rsidRPr="00AE4FCC">
        <w:rPr>
          <w:color w:val="000000"/>
          <w:szCs w:val="24"/>
        </w:rPr>
        <w:t xml:space="preserve"> </w:t>
      </w:r>
      <w:r w:rsidR="00F23443" w:rsidRPr="00AE4FCC">
        <w:rPr>
          <w:color w:val="000000"/>
          <w:szCs w:val="24"/>
        </w:rPr>
        <w:t xml:space="preserve">in </w:t>
      </w:r>
      <w:r w:rsidRPr="00AE4FCC">
        <w:rPr>
          <w:i/>
          <w:color w:val="000000"/>
          <w:szCs w:val="24"/>
        </w:rPr>
        <w:t xml:space="preserve">The Journal of Interdisciplinary </w:t>
      </w:r>
      <w:r w:rsidRPr="00AE4FCC">
        <w:rPr>
          <w:i/>
          <w:color w:val="000000"/>
          <w:szCs w:val="24"/>
        </w:rPr>
        <w:tab/>
        <w:t>History</w:t>
      </w:r>
      <w:r w:rsidRPr="00AE4FCC">
        <w:rPr>
          <w:color w:val="000000"/>
          <w:szCs w:val="24"/>
        </w:rPr>
        <w:t>, 4:2 (Autumn 1973), 237-262.</w:t>
      </w:r>
    </w:p>
    <w:p w14:paraId="2B363067"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58EBAC12"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b/>
          <w:color w:val="000000"/>
          <w:szCs w:val="24"/>
        </w:rPr>
      </w:pPr>
      <w:r w:rsidRPr="00AE4FCC">
        <w:rPr>
          <w:b/>
          <w:color w:val="000000"/>
          <w:szCs w:val="24"/>
        </w:rPr>
        <w:t>Contributions to Reference Works</w:t>
      </w:r>
    </w:p>
    <w:p w14:paraId="64350168" w14:textId="77777777" w:rsidR="000F4997" w:rsidRPr="00AE4FCC" w:rsidRDefault="000F4997">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b/>
          <w:color w:val="000000"/>
          <w:szCs w:val="24"/>
        </w:rPr>
      </w:pPr>
    </w:p>
    <w:p w14:paraId="6083EEF0" w14:textId="1681FFC9" w:rsidR="000F4997" w:rsidRPr="00AE4FCC" w:rsidRDefault="000F4997">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 xml:space="preserve">“Voting Rights,” in Paula Baker and Donald Critchlow, eds., </w:t>
      </w:r>
      <w:r w:rsidR="00F23443" w:rsidRPr="00AE4FCC">
        <w:rPr>
          <w:color w:val="000000"/>
          <w:szCs w:val="24"/>
        </w:rPr>
        <w:t xml:space="preserve">in </w:t>
      </w:r>
      <w:r w:rsidRPr="00AE4FCC">
        <w:rPr>
          <w:i/>
          <w:color w:val="000000"/>
          <w:szCs w:val="24"/>
        </w:rPr>
        <w:t>The Oxford Handbook of American Political History</w:t>
      </w:r>
      <w:r w:rsidRPr="00AE4FCC">
        <w:rPr>
          <w:color w:val="000000"/>
          <w:szCs w:val="24"/>
        </w:rPr>
        <w:t xml:space="preserve"> (New York: Oxford University Press,</w:t>
      </w:r>
      <w:r w:rsidR="00761EA3">
        <w:rPr>
          <w:color w:val="000000"/>
          <w:szCs w:val="24"/>
        </w:rPr>
        <w:t xml:space="preserve"> 2020</w:t>
      </w:r>
      <w:r w:rsidRPr="00AE4FCC">
        <w:rPr>
          <w:color w:val="000000"/>
          <w:szCs w:val="24"/>
        </w:rPr>
        <w:t>)</w:t>
      </w:r>
      <w:r w:rsidR="00761EA3">
        <w:rPr>
          <w:color w:val="000000"/>
          <w:szCs w:val="24"/>
        </w:rPr>
        <w:t>, 195-218</w:t>
      </w:r>
      <w:r w:rsidR="00F23443" w:rsidRPr="00AE4FCC">
        <w:rPr>
          <w:color w:val="000000"/>
          <w:szCs w:val="24"/>
        </w:rPr>
        <w:t>.</w:t>
      </w:r>
    </w:p>
    <w:p w14:paraId="40724634"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7AFC0AA2"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“Election Law,” in Donald T. Critchlow and Phil Vandermeer, eds.,</w:t>
      </w:r>
      <w:r w:rsidRPr="00AE4FCC">
        <w:rPr>
          <w:i/>
          <w:color w:val="000000"/>
          <w:szCs w:val="24"/>
        </w:rPr>
        <w:t xml:space="preserve"> </w:t>
      </w:r>
      <w:r w:rsidR="00F23443" w:rsidRPr="00AE4FCC">
        <w:rPr>
          <w:iCs/>
          <w:color w:val="000000"/>
          <w:szCs w:val="24"/>
        </w:rPr>
        <w:t xml:space="preserve">in </w:t>
      </w:r>
      <w:r w:rsidRPr="00AE4FCC">
        <w:rPr>
          <w:i/>
          <w:color w:val="000000"/>
          <w:szCs w:val="24"/>
        </w:rPr>
        <w:t>The Oxford Encyclopedia of American Political and Legal History</w:t>
      </w:r>
      <w:r w:rsidRPr="00AE4FCC">
        <w:rPr>
          <w:color w:val="000000"/>
          <w:szCs w:val="24"/>
        </w:rPr>
        <w:t>,” (New York: Oxford University Press, 2012)</w:t>
      </w:r>
      <w:r w:rsidR="00F23443" w:rsidRPr="00AE4FCC">
        <w:rPr>
          <w:color w:val="000000"/>
          <w:szCs w:val="24"/>
        </w:rPr>
        <w:t>.</w:t>
      </w:r>
    </w:p>
    <w:p w14:paraId="3230EF93"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1A63A4A9"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 xml:space="preserve">“Voting Rights,” in Paul J. Quirk and William </w:t>
      </w:r>
      <w:proofErr w:type="spellStart"/>
      <w:r w:rsidRPr="00AE4FCC">
        <w:rPr>
          <w:color w:val="000000"/>
          <w:szCs w:val="24"/>
        </w:rPr>
        <w:t>Cunion</w:t>
      </w:r>
      <w:proofErr w:type="spellEnd"/>
      <w:r w:rsidRPr="00AE4FCC">
        <w:rPr>
          <w:color w:val="000000"/>
          <w:szCs w:val="24"/>
        </w:rPr>
        <w:t xml:space="preserve">, eds., </w:t>
      </w:r>
      <w:r w:rsidR="00F23443" w:rsidRPr="00AE4FCC">
        <w:rPr>
          <w:color w:val="000000"/>
          <w:szCs w:val="24"/>
        </w:rPr>
        <w:t xml:space="preserve">in </w:t>
      </w:r>
      <w:r w:rsidRPr="00AE4FCC">
        <w:rPr>
          <w:i/>
          <w:color w:val="000000"/>
          <w:szCs w:val="24"/>
        </w:rPr>
        <w:t>Governing America: Major Policies and Decisions of Federal, State, and Local Government</w:t>
      </w:r>
      <w:r w:rsidRPr="00AE4FCC">
        <w:rPr>
          <w:color w:val="000000"/>
          <w:szCs w:val="24"/>
        </w:rPr>
        <w:t xml:space="preserve"> (New York: Facts on File, Inc., 2011), III: 1010-25.</w:t>
      </w:r>
    </w:p>
    <w:p w14:paraId="7BB09B17"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413ACE4C"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 xml:space="preserve">“Race and Politics, 1860-1933,” in </w:t>
      </w:r>
      <w:r w:rsidRPr="00AE4FCC">
        <w:rPr>
          <w:i/>
          <w:color w:val="000000"/>
          <w:szCs w:val="24"/>
        </w:rPr>
        <w:t>Princeton Encyclopedia of U.S. Political History</w:t>
      </w:r>
      <w:r w:rsidRPr="00AE4FCC">
        <w:rPr>
          <w:color w:val="000000"/>
          <w:szCs w:val="24"/>
        </w:rPr>
        <w:t xml:space="preserve"> (Princeton, Princeton University Press, 2009), 635-43.</w:t>
      </w:r>
    </w:p>
    <w:p w14:paraId="080906B7"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5D534A6F"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 xml:space="preserve">“Disfranchisement,” “Election Laws,” “Grandfather Clause,” “Jim Crow,” </w:t>
      </w:r>
      <w:r w:rsidRPr="00AE4FCC">
        <w:rPr>
          <w:i/>
          <w:color w:val="000000"/>
          <w:szCs w:val="24"/>
        </w:rPr>
        <w:t>“Plessy v. Ferguson</w:t>
      </w:r>
      <w:r w:rsidRPr="00AE4FCC">
        <w:rPr>
          <w:color w:val="000000"/>
          <w:szCs w:val="24"/>
        </w:rPr>
        <w:t>,” “</w:t>
      </w:r>
      <w:r w:rsidRPr="00AE4FCC">
        <w:rPr>
          <w:i/>
          <w:color w:val="000000"/>
          <w:szCs w:val="24"/>
        </w:rPr>
        <w:t>Reitman v. Mulkey</w:t>
      </w:r>
      <w:r w:rsidRPr="00AE4FCC">
        <w:rPr>
          <w:color w:val="000000"/>
          <w:szCs w:val="24"/>
        </w:rPr>
        <w:t xml:space="preserve">,” “Voter Registration,” “Voter Residency Requirements,” and “Voting,” in </w:t>
      </w:r>
      <w:r w:rsidRPr="00AE4FCC">
        <w:rPr>
          <w:i/>
          <w:color w:val="000000"/>
          <w:szCs w:val="24"/>
        </w:rPr>
        <w:t>New Dictionary of American History</w:t>
      </w:r>
      <w:r w:rsidRPr="00AE4FCC">
        <w:rPr>
          <w:color w:val="000000"/>
          <w:szCs w:val="24"/>
        </w:rPr>
        <w:t xml:space="preserve"> (New York:</w:t>
      </w:r>
      <w:r w:rsidR="008F6761" w:rsidRPr="00AE4FCC">
        <w:rPr>
          <w:color w:val="000000"/>
          <w:szCs w:val="24"/>
        </w:rPr>
        <w:t xml:space="preserve"> </w:t>
      </w:r>
      <w:r w:rsidRPr="00AE4FCC">
        <w:rPr>
          <w:color w:val="000000"/>
          <w:szCs w:val="24"/>
        </w:rPr>
        <w:t>Charles Scribner’s Sons, 2002)</w:t>
      </w:r>
    </w:p>
    <w:p w14:paraId="5F5B67C1"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50A83260"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 xml:space="preserve">“Enclosure/Fence Laws,” in </w:t>
      </w:r>
      <w:r w:rsidRPr="00AE4FCC">
        <w:rPr>
          <w:i/>
          <w:color w:val="000000"/>
          <w:szCs w:val="24"/>
        </w:rPr>
        <w:t>Encyclopedia of Appalachia</w:t>
      </w:r>
      <w:r w:rsidRPr="00AE4FCC">
        <w:rPr>
          <w:color w:val="000000"/>
          <w:szCs w:val="24"/>
        </w:rPr>
        <w:t xml:space="preserve"> (Knoxville: University of Tennessee Press, 2006).</w:t>
      </w:r>
    </w:p>
    <w:p w14:paraId="5FA16FDB"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4F4CFC60"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lastRenderedPageBreak/>
        <w:t xml:space="preserve">“Voting Districts and Minority Representation,” in </w:t>
      </w:r>
      <w:r w:rsidRPr="00AE4FCC">
        <w:rPr>
          <w:i/>
          <w:color w:val="000000"/>
          <w:szCs w:val="24"/>
        </w:rPr>
        <w:t>Encarta Africana</w:t>
      </w:r>
      <w:r w:rsidRPr="00AE4FCC">
        <w:rPr>
          <w:color w:val="000000"/>
          <w:szCs w:val="24"/>
        </w:rPr>
        <w:t xml:space="preserve"> (2</w:t>
      </w:r>
      <w:r w:rsidRPr="00AE4FCC">
        <w:rPr>
          <w:color w:val="000000"/>
          <w:szCs w:val="24"/>
          <w:vertAlign w:val="superscript"/>
        </w:rPr>
        <w:t>nd</w:t>
      </w:r>
      <w:r w:rsidRPr="00AE4FCC">
        <w:rPr>
          <w:color w:val="000000"/>
          <w:szCs w:val="24"/>
        </w:rPr>
        <w:t xml:space="preserve"> ed., Microsoft Corp., 2000).</w:t>
      </w:r>
    </w:p>
    <w:p w14:paraId="577AC438"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1BC66DEA"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 xml:space="preserve">“Reapportionment” and “Voting Rights,” in </w:t>
      </w:r>
      <w:r w:rsidRPr="00AE4FCC">
        <w:rPr>
          <w:i/>
          <w:color w:val="000000"/>
          <w:szCs w:val="24"/>
        </w:rPr>
        <w:t>Encyclopedia of the American Constitution</w:t>
      </w:r>
      <w:r w:rsidRPr="00AE4FCC">
        <w:rPr>
          <w:color w:val="000000"/>
          <w:szCs w:val="24"/>
        </w:rPr>
        <w:t>, Supplement II (New York: Macmillan, 2000).</w:t>
      </w:r>
    </w:p>
    <w:p w14:paraId="26736E1F"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35545302"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 xml:space="preserve">“Reconstruction,” in </w:t>
      </w:r>
      <w:r w:rsidRPr="00AE4FCC">
        <w:rPr>
          <w:i/>
          <w:color w:val="000000"/>
          <w:szCs w:val="24"/>
        </w:rPr>
        <w:t>The Oxford Companion to United States History</w:t>
      </w:r>
      <w:r w:rsidRPr="00AE4FCC">
        <w:rPr>
          <w:color w:val="000000"/>
          <w:szCs w:val="24"/>
        </w:rPr>
        <w:t xml:space="preserve"> (New York: Oxford University Press, 2001).</w:t>
      </w:r>
    </w:p>
    <w:p w14:paraId="7F0152F5"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color w:val="000000"/>
          <w:szCs w:val="24"/>
        </w:rPr>
        <w:tab/>
      </w:r>
      <w:r w:rsidRPr="00AE4FCC">
        <w:rPr>
          <w:color w:val="000000"/>
          <w:szCs w:val="24"/>
        </w:rPr>
        <w:tab/>
      </w:r>
    </w:p>
    <w:p w14:paraId="70D87C09"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 xml:space="preserve">“Poll Tax,” in </w:t>
      </w:r>
      <w:r w:rsidRPr="00AE4FCC">
        <w:rPr>
          <w:i/>
          <w:color w:val="000000"/>
          <w:szCs w:val="24"/>
        </w:rPr>
        <w:t>The International Encyclopedia of Elections</w:t>
      </w:r>
      <w:r w:rsidRPr="00AE4FCC">
        <w:rPr>
          <w:color w:val="000000"/>
          <w:szCs w:val="24"/>
        </w:rPr>
        <w:t xml:space="preserve"> (Washington, D.C.: Congressional Quarterly, Inc., 1999), 208-09.</w:t>
      </w:r>
    </w:p>
    <w:p w14:paraId="3C1B4900"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7DCC55D8"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w:t>
      </w:r>
      <w:r w:rsidRPr="00AE4FCC">
        <w:rPr>
          <w:i/>
          <w:color w:val="000000"/>
          <w:szCs w:val="24"/>
        </w:rPr>
        <w:t>Cumming</w:t>
      </w:r>
      <w:r w:rsidRPr="00AE4FCC">
        <w:rPr>
          <w:color w:val="000000"/>
          <w:szCs w:val="24"/>
        </w:rPr>
        <w:t xml:space="preserve"> v. </w:t>
      </w:r>
      <w:r w:rsidRPr="00AE4FCC">
        <w:rPr>
          <w:i/>
          <w:color w:val="000000"/>
          <w:szCs w:val="24"/>
        </w:rPr>
        <w:t>Richmond County</w:t>
      </w:r>
      <w:r w:rsidRPr="00AE4FCC">
        <w:rPr>
          <w:color w:val="000000"/>
          <w:szCs w:val="24"/>
        </w:rPr>
        <w:t xml:space="preserve">,” “Grandfather Clause,” and “ </w:t>
      </w:r>
      <w:r w:rsidRPr="00AE4FCC">
        <w:rPr>
          <w:i/>
          <w:color w:val="000000"/>
          <w:szCs w:val="24"/>
        </w:rPr>
        <w:t>Guinn</w:t>
      </w:r>
      <w:r w:rsidRPr="00AE4FCC">
        <w:rPr>
          <w:color w:val="000000"/>
          <w:szCs w:val="24"/>
        </w:rPr>
        <w:t xml:space="preserve"> v. </w:t>
      </w:r>
      <w:r w:rsidRPr="00AE4FCC">
        <w:rPr>
          <w:i/>
          <w:color w:val="000000"/>
          <w:szCs w:val="24"/>
        </w:rPr>
        <w:t>U.S.</w:t>
      </w:r>
      <w:r w:rsidRPr="00AE4FCC">
        <w:rPr>
          <w:color w:val="000000"/>
          <w:szCs w:val="24"/>
        </w:rPr>
        <w:t xml:space="preserve">,” in </w:t>
      </w:r>
      <w:r w:rsidR="002478E5" w:rsidRPr="00AE4FCC">
        <w:rPr>
          <w:i/>
          <w:color w:val="000000"/>
          <w:szCs w:val="24"/>
        </w:rPr>
        <w:t xml:space="preserve">Oxford </w:t>
      </w:r>
      <w:r w:rsidRPr="00AE4FCC">
        <w:rPr>
          <w:i/>
          <w:color w:val="000000"/>
          <w:szCs w:val="24"/>
        </w:rPr>
        <w:t>Companion to the Supreme Court of the United States</w:t>
      </w:r>
      <w:r w:rsidRPr="00AE4FCC">
        <w:rPr>
          <w:color w:val="000000"/>
          <w:szCs w:val="24"/>
        </w:rPr>
        <w:t xml:space="preserve"> (New York: Oxford University Press, 1992).</w:t>
      </w:r>
    </w:p>
    <w:p w14:paraId="23063F4C"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41B71BF4"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“Voting” in</w:t>
      </w:r>
      <w:r w:rsidR="008F6761" w:rsidRPr="00AE4FCC">
        <w:rPr>
          <w:color w:val="000000"/>
          <w:szCs w:val="24"/>
        </w:rPr>
        <w:t xml:space="preserve"> </w:t>
      </w:r>
      <w:r w:rsidRPr="00AE4FCC">
        <w:rPr>
          <w:i/>
          <w:color w:val="000000"/>
          <w:szCs w:val="24"/>
        </w:rPr>
        <w:t>Encyclopedia of Southern Culture</w:t>
      </w:r>
      <w:r w:rsidRPr="00AE4FCC">
        <w:rPr>
          <w:color w:val="000000"/>
          <w:szCs w:val="24"/>
        </w:rPr>
        <w:t>, (Cha</w:t>
      </w:r>
      <w:r w:rsidR="002478E5" w:rsidRPr="00AE4FCC">
        <w:rPr>
          <w:color w:val="000000"/>
          <w:szCs w:val="24"/>
        </w:rPr>
        <w:t xml:space="preserve">pel Hill: University of North </w:t>
      </w:r>
      <w:r w:rsidR="002478E5" w:rsidRPr="00AE4FCC">
        <w:rPr>
          <w:color w:val="000000"/>
          <w:szCs w:val="24"/>
        </w:rPr>
        <w:tab/>
      </w:r>
      <w:r w:rsidRPr="00AE4FCC">
        <w:rPr>
          <w:color w:val="000000"/>
          <w:szCs w:val="24"/>
        </w:rPr>
        <w:t>Carolina Press, 1989), 1179-81.</w:t>
      </w:r>
    </w:p>
    <w:p w14:paraId="28B83536"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3DDE1CBA"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“Suffrage,” in Jack P. Greene, ed.,</w:t>
      </w:r>
      <w:r w:rsidR="008F6761" w:rsidRPr="00AE4FCC">
        <w:rPr>
          <w:color w:val="000000"/>
          <w:szCs w:val="24"/>
        </w:rPr>
        <w:t xml:space="preserve"> </w:t>
      </w:r>
      <w:r w:rsidR="00F23443" w:rsidRPr="00AE4FCC">
        <w:rPr>
          <w:color w:val="000000"/>
          <w:szCs w:val="24"/>
        </w:rPr>
        <w:t xml:space="preserve">in </w:t>
      </w:r>
      <w:r w:rsidRPr="00AE4FCC">
        <w:rPr>
          <w:i/>
          <w:color w:val="000000"/>
          <w:szCs w:val="24"/>
        </w:rPr>
        <w:t>Encyclopedia of American Political History</w:t>
      </w:r>
      <w:r w:rsidR="002478E5" w:rsidRPr="00AE4FCC">
        <w:rPr>
          <w:color w:val="000000"/>
          <w:szCs w:val="24"/>
        </w:rPr>
        <w:t xml:space="preserve"> (New</w:t>
      </w:r>
      <w:r w:rsidR="00F34673" w:rsidRPr="00AE4FCC">
        <w:rPr>
          <w:color w:val="000000"/>
          <w:szCs w:val="24"/>
        </w:rPr>
        <w:t xml:space="preserve"> </w:t>
      </w:r>
      <w:r w:rsidR="002478E5" w:rsidRPr="00AE4FCC">
        <w:rPr>
          <w:color w:val="000000"/>
          <w:szCs w:val="24"/>
        </w:rPr>
        <w:t>York:</w:t>
      </w:r>
      <w:r w:rsidR="008F6761" w:rsidRPr="00AE4FCC">
        <w:rPr>
          <w:color w:val="000000"/>
          <w:szCs w:val="24"/>
        </w:rPr>
        <w:t xml:space="preserve"> </w:t>
      </w:r>
      <w:r w:rsidRPr="00AE4FCC">
        <w:rPr>
          <w:color w:val="000000"/>
          <w:szCs w:val="24"/>
        </w:rPr>
        <w:t>Charles Scribner's Sons, 1984), III, 1236-58.</w:t>
      </w:r>
      <w:r w:rsidR="008F6761" w:rsidRPr="00AE4FCC">
        <w:rPr>
          <w:color w:val="000000"/>
          <w:szCs w:val="24"/>
        </w:rPr>
        <w:t xml:space="preserve"> </w:t>
      </w:r>
    </w:p>
    <w:p w14:paraId="0D00E9AF"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77119771"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color w:val="000000"/>
          <w:szCs w:val="24"/>
        </w:rPr>
      </w:pPr>
      <w:r w:rsidRPr="00AE4FCC">
        <w:rPr>
          <w:color w:val="000000"/>
          <w:szCs w:val="24"/>
        </w:rPr>
        <w:t>“Disfranchisement,” “Grandfather Clause,” and “</w:t>
      </w:r>
      <w:r w:rsidRPr="00AE4FCC">
        <w:rPr>
          <w:i/>
          <w:color w:val="000000"/>
          <w:szCs w:val="24"/>
        </w:rPr>
        <w:t>Williams</w:t>
      </w:r>
      <w:r w:rsidRPr="00AE4FCC">
        <w:rPr>
          <w:color w:val="000000"/>
          <w:szCs w:val="24"/>
        </w:rPr>
        <w:t xml:space="preserve"> v. </w:t>
      </w:r>
      <w:r w:rsidRPr="00AE4FCC">
        <w:rPr>
          <w:i/>
          <w:color w:val="000000"/>
          <w:szCs w:val="24"/>
        </w:rPr>
        <w:t>Mississippi</w:t>
      </w:r>
      <w:r w:rsidR="002478E5" w:rsidRPr="00AE4FCC">
        <w:rPr>
          <w:color w:val="000000"/>
          <w:szCs w:val="24"/>
        </w:rPr>
        <w:t xml:space="preserve">,” in David C. Roller </w:t>
      </w:r>
      <w:r w:rsidRPr="00AE4FCC">
        <w:rPr>
          <w:color w:val="000000"/>
          <w:szCs w:val="24"/>
        </w:rPr>
        <w:t>and Robert W. Twyman, eds.,</w:t>
      </w:r>
      <w:r w:rsidR="008F6761" w:rsidRPr="00AE4FCC">
        <w:rPr>
          <w:color w:val="000000"/>
          <w:szCs w:val="24"/>
        </w:rPr>
        <w:t xml:space="preserve"> </w:t>
      </w:r>
      <w:r w:rsidRPr="00AE4FCC">
        <w:rPr>
          <w:i/>
          <w:color w:val="000000"/>
          <w:szCs w:val="24"/>
        </w:rPr>
        <w:t>Encyclopedia of Southern History</w:t>
      </w:r>
      <w:r w:rsidR="002478E5" w:rsidRPr="00AE4FCC">
        <w:rPr>
          <w:color w:val="000000"/>
          <w:szCs w:val="24"/>
        </w:rPr>
        <w:t xml:space="preserve"> (Baton Rouge:</w:t>
      </w:r>
      <w:r w:rsidR="008F6761" w:rsidRPr="00AE4FCC">
        <w:rPr>
          <w:color w:val="000000"/>
          <w:szCs w:val="24"/>
        </w:rPr>
        <w:t xml:space="preserve"> </w:t>
      </w:r>
      <w:r w:rsidR="002478E5" w:rsidRPr="00AE4FCC">
        <w:rPr>
          <w:color w:val="000000"/>
          <w:szCs w:val="24"/>
        </w:rPr>
        <w:t xml:space="preserve">L.S.U. </w:t>
      </w:r>
      <w:r w:rsidRPr="00AE4FCC">
        <w:rPr>
          <w:color w:val="000000"/>
          <w:szCs w:val="24"/>
        </w:rPr>
        <w:t>Press, 1979).</w:t>
      </w:r>
    </w:p>
    <w:p w14:paraId="78EBC514"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p>
    <w:p w14:paraId="07F49A5D" w14:textId="77777777" w:rsidR="00BD6321" w:rsidRPr="00AE4FCC" w:rsidRDefault="00BD6321">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b/>
          <w:color w:val="000000"/>
          <w:szCs w:val="24"/>
        </w:rPr>
      </w:pPr>
      <w:r w:rsidRPr="00AE4FCC">
        <w:rPr>
          <w:b/>
          <w:color w:val="000000"/>
          <w:szCs w:val="24"/>
        </w:rPr>
        <w:t>Reviews</w:t>
      </w:r>
      <w:r w:rsidRPr="00AE4FCC">
        <w:rPr>
          <w:color w:val="000000"/>
          <w:szCs w:val="24"/>
        </w:rPr>
        <w:t xml:space="preserve"> </w:t>
      </w:r>
      <w:r w:rsidRPr="00AE4FCC">
        <w:rPr>
          <w:b/>
          <w:color w:val="000000"/>
          <w:szCs w:val="24"/>
        </w:rPr>
        <w:t>and Review Essays</w:t>
      </w:r>
    </w:p>
    <w:p w14:paraId="4DD28C45" w14:textId="77777777" w:rsidR="00821650" w:rsidRPr="00AE4FCC" w:rsidRDefault="00821650">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b/>
          <w:color w:val="000000"/>
          <w:szCs w:val="24"/>
        </w:rPr>
      </w:pPr>
    </w:p>
    <w:p w14:paraId="215C0C88" w14:textId="77777777" w:rsidR="00821650" w:rsidRPr="00AE4FCC" w:rsidRDefault="00821650" w:rsidP="00821650">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i/>
          <w:color w:val="000000"/>
          <w:szCs w:val="24"/>
        </w:rPr>
      </w:pPr>
      <w:proofErr w:type="spellStart"/>
      <w:r w:rsidRPr="00AE4FCC">
        <w:rPr>
          <w:color w:val="000000"/>
          <w:szCs w:val="24"/>
        </w:rPr>
        <w:t>Avidit</w:t>
      </w:r>
      <w:proofErr w:type="spellEnd"/>
      <w:r w:rsidRPr="00AE4FCC">
        <w:rPr>
          <w:color w:val="000000"/>
          <w:szCs w:val="24"/>
        </w:rPr>
        <w:t xml:space="preserve"> Acharya, Matthew Blackwell, and Maya Sen, </w:t>
      </w:r>
      <w:r w:rsidRPr="00AE4FCC">
        <w:rPr>
          <w:i/>
          <w:color w:val="000000"/>
          <w:szCs w:val="24"/>
        </w:rPr>
        <w:t>Deep Roots:</w:t>
      </w:r>
      <w:r w:rsidR="008F6761" w:rsidRPr="00AE4FCC">
        <w:rPr>
          <w:i/>
          <w:color w:val="000000"/>
          <w:szCs w:val="24"/>
        </w:rPr>
        <w:t xml:space="preserve"> </w:t>
      </w:r>
      <w:r w:rsidRPr="00AE4FCC">
        <w:rPr>
          <w:i/>
          <w:color w:val="000000"/>
          <w:szCs w:val="24"/>
        </w:rPr>
        <w:t>How Slavery Still Shapes</w:t>
      </w:r>
    </w:p>
    <w:p w14:paraId="63599299" w14:textId="77777777" w:rsidR="00821650" w:rsidRPr="00AE4FCC" w:rsidRDefault="00821650" w:rsidP="00821650">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Cs w:val="24"/>
        </w:rPr>
      </w:pPr>
      <w:r w:rsidRPr="00AE4FCC">
        <w:rPr>
          <w:i/>
          <w:color w:val="000000"/>
          <w:szCs w:val="24"/>
        </w:rPr>
        <w:tab/>
        <w:t xml:space="preserve"> Southern Politics</w:t>
      </w:r>
      <w:r w:rsidRPr="00AE4FCC">
        <w:rPr>
          <w:color w:val="000000"/>
          <w:szCs w:val="24"/>
        </w:rPr>
        <w:t xml:space="preserve">, </w:t>
      </w:r>
      <w:r w:rsidRPr="00AE4FCC">
        <w:rPr>
          <w:i/>
          <w:color w:val="000000"/>
          <w:szCs w:val="24"/>
        </w:rPr>
        <w:t>Perspectives on Politics</w:t>
      </w:r>
      <w:r w:rsidRPr="00AE4FCC">
        <w:rPr>
          <w:color w:val="000000"/>
          <w:szCs w:val="24"/>
        </w:rPr>
        <w:t xml:space="preserve"> </w:t>
      </w:r>
      <w:r w:rsidR="00D4145D" w:rsidRPr="00AE4FCC">
        <w:rPr>
          <w:color w:val="000000"/>
          <w:szCs w:val="24"/>
        </w:rPr>
        <w:t>18 (March 2020), 209-10.</w:t>
      </w:r>
    </w:p>
    <w:p w14:paraId="7E59E593" w14:textId="77777777" w:rsidR="005072C6" w:rsidRPr="00AE4FCC" w:rsidRDefault="005072C6">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b/>
          <w:color w:val="000000"/>
          <w:szCs w:val="24"/>
        </w:rPr>
      </w:pPr>
    </w:p>
    <w:p w14:paraId="59C92B1E" w14:textId="77777777" w:rsidR="005072C6" w:rsidRPr="00AE4FCC" w:rsidRDefault="005072C6" w:rsidP="005072C6">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i/>
          <w:color w:val="000000"/>
          <w:szCs w:val="24"/>
        </w:rPr>
      </w:pPr>
      <w:r w:rsidRPr="00AE4FCC">
        <w:rPr>
          <w:color w:val="000000"/>
          <w:szCs w:val="24"/>
        </w:rPr>
        <w:t>Howard Bodenhorn,</w:t>
      </w:r>
      <w:r w:rsidRPr="00AE4FCC">
        <w:rPr>
          <w:b/>
          <w:color w:val="000000"/>
          <w:szCs w:val="24"/>
        </w:rPr>
        <w:t xml:space="preserve"> </w:t>
      </w:r>
      <w:r w:rsidRPr="00AE4FCC">
        <w:rPr>
          <w:i/>
          <w:color w:val="000000"/>
          <w:szCs w:val="24"/>
        </w:rPr>
        <w:t>The Color Factor:</w:t>
      </w:r>
      <w:r w:rsidR="008F6761" w:rsidRPr="00AE4FCC">
        <w:rPr>
          <w:i/>
          <w:color w:val="000000"/>
          <w:szCs w:val="24"/>
        </w:rPr>
        <w:t xml:space="preserve"> </w:t>
      </w:r>
      <w:r w:rsidRPr="00AE4FCC">
        <w:rPr>
          <w:i/>
          <w:color w:val="000000"/>
          <w:szCs w:val="24"/>
        </w:rPr>
        <w:t>The Economics of African-American Well-Being in the</w:t>
      </w:r>
    </w:p>
    <w:p w14:paraId="1587FB56" w14:textId="77777777" w:rsidR="005072C6" w:rsidRPr="00AE4FCC" w:rsidRDefault="005072C6" w:rsidP="005072C6">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i/>
          <w:color w:val="000000"/>
          <w:szCs w:val="24"/>
        </w:rPr>
      </w:pPr>
      <w:r w:rsidRPr="00AE4FCC">
        <w:rPr>
          <w:i/>
          <w:color w:val="000000"/>
          <w:szCs w:val="24"/>
        </w:rPr>
        <w:tab/>
        <w:t>Nineteenth Century South</w:t>
      </w:r>
      <w:r w:rsidRPr="00AE4FCC">
        <w:rPr>
          <w:color w:val="000000"/>
          <w:szCs w:val="24"/>
        </w:rPr>
        <w:t xml:space="preserve">, </w:t>
      </w:r>
      <w:r w:rsidRPr="00AE4FCC">
        <w:rPr>
          <w:i/>
          <w:color w:val="000000"/>
          <w:szCs w:val="24"/>
        </w:rPr>
        <w:t>Journal of Southern History</w:t>
      </w:r>
      <w:r w:rsidR="00D979A3" w:rsidRPr="00AE4FCC">
        <w:rPr>
          <w:color w:val="000000"/>
          <w:szCs w:val="24"/>
        </w:rPr>
        <w:t>, 83 (2017), 29-30.</w:t>
      </w:r>
      <w:r w:rsidRPr="00AE4FCC">
        <w:rPr>
          <w:i/>
          <w:color w:val="000000"/>
          <w:szCs w:val="24"/>
        </w:rPr>
        <w:t xml:space="preserve"> </w:t>
      </w:r>
    </w:p>
    <w:p w14:paraId="1CC1D920" w14:textId="77777777" w:rsidR="009243A0" w:rsidRPr="00AE4FCC" w:rsidRDefault="009243A0">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b/>
          <w:color w:val="000000"/>
          <w:szCs w:val="24"/>
        </w:rPr>
      </w:pPr>
    </w:p>
    <w:p w14:paraId="53B37405" w14:textId="77777777" w:rsidR="009243A0" w:rsidRPr="00AE4FCC" w:rsidRDefault="009243A0" w:rsidP="009243A0">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i/>
          <w:color w:val="000000"/>
          <w:szCs w:val="24"/>
        </w:rPr>
      </w:pPr>
      <w:r w:rsidRPr="00AE4FCC">
        <w:rPr>
          <w:color w:val="000000"/>
          <w:szCs w:val="24"/>
        </w:rPr>
        <w:t xml:space="preserve">Ari Berman, </w:t>
      </w:r>
      <w:r w:rsidRPr="00AE4FCC">
        <w:rPr>
          <w:i/>
          <w:color w:val="000000"/>
          <w:szCs w:val="24"/>
        </w:rPr>
        <w:t>Give Us the Ballot:</w:t>
      </w:r>
      <w:r w:rsidR="008F6761" w:rsidRPr="00AE4FCC">
        <w:rPr>
          <w:i/>
          <w:color w:val="000000"/>
          <w:szCs w:val="24"/>
        </w:rPr>
        <w:t xml:space="preserve"> </w:t>
      </w:r>
      <w:r w:rsidRPr="00AE4FCC">
        <w:rPr>
          <w:i/>
          <w:color w:val="000000"/>
          <w:szCs w:val="24"/>
        </w:rPr>
        <w:t>The Modern Struggle for Voting Rights in America</w:t>
      </w:r>
      <w:r w:rsidRPr="00AE4FCC">
        <w:rPr>
          <w:color w:val="000000"/>
          <w:szCs w:val="24"/>
        </w:rPr>
        <w:t xml:space="preserve">, in </w:t>
      </w:r>
      <w:r w:rsidRPr="00AE4FCC">
        <w:rPr>
          <w:i/>
          <w:color w:val="000000"/>
          <w:szCs w:val="24"/>
        </w:rPr>
        <w:t>Election</w:t>
      </w:r>
    </w:p>
    <w:p w14:paraId="2676C407" w14:textId="77777777" w:rsidR="009243A0" w:rsidRPr="00AE4FCC" w:rsidRDefault="009243A0" w:rsidP="00D65162">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ontextualSpacing/>
        <w:rPr>
          <w:color w:val="000000"/>
          <w:szCs w:val="24"/>
        </w:rPr>
      </w:pPr>
      <w:r w:rsidRPr="00AE4FCC">
        <w:rPr>
          <w:i/>
          <w:color w:val="000000"/>
          <w:szCs w:val="24"/>
        </w:rPr>
        <w:tab/>
        <w:t>Law Journal</w:t>
      </w:r>
      <w:r w:rsidRPr="00AE4FCC">
        <w:rPr>
          <w:color w:val="000000"/>
          <w:szCs w:val="24"/>
        </w:rPr>
        <w:t>, 2016.</w:t>
      </w:r>
    </w:p>
    <w:p w14:paraId="354AFCB6" w14:textId="77777777" w:rsidR="00BD6321" w:rsidRPr="00AE4FCC" w:rsidRDefault="00BD6321" w:rsidP="00D65162">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ontextualSpacing/>
        <w:rPr>
          <w:color w:val="000000"/>
          <w:szCs w:val="24"/>
        </w:rPr>
      </w:pPr>
    </w:p>
    <w:p w14:paraId="18CDA67D" w14:textId="77777777" w:rsidR="00BD6321" w:rsidRPr="00AE4FCC" w:rsidRDefault="00BD6321" w:rsidP="00D65162">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contextualSpacing/>
        <w:rPr>
          <w:color w:val="000000"/>
          <w:szCs w:val="24"/>
        </w:rPr>
      </w:pPr>
      <w:r w:rsidRPr="00AE4FCC">
        <w:rPr>
          <w:color w:val="000000"/>
          <w:szCs w:val="24"/>
        </w:rPr>
        <w:t xml:space="preserve">Gavin Wright, </w:t>
      </w:r>
      <w:r w:rsidRPr="00AE4FCC">
        <w:rPr>
          <w:i/>
          <w:color w:val="000000"/>
          <w:szCs w:val="24"/>
        </w:rPr>
        <w:t>Sharing the Prize: The Economics of the Civil Rights Revolution in the American South</w:t>
      </w:r>
      <w:r w:rsidRPr="00AE4FCC">
        <w:rPr>
          <w:color w:val="000000"/>
          <w:szCs w:val="24"/>
        </w:rPr>
        <w:t xml:space="preserve">, in </w:t>
      </w:r>
      <w:r w:rsidRPr="00AE4FCC">
        <w:rPr>
          <w:i/>
          <w:color w:val="000000"/>
          <w:szCs w:val="24"/>
        </w:rPr>
        <w:t>Journal of Southern History</w:t>
      </w:r>
      <w:r w:rsidR="00E02451" w:rsidRPr="00AE4FCC">
        <w:rPr>
          <w:color w:val="000000"/>
          <w:szCs w:val="24"/>
        </w:rPr>
        <w:t>, 80 (2014), 768-70</w:t>
      </w:r>
      <w:r w:rsidRPr="00AE4FCC">
        <w:rPr>
          <w:color w:val="000000"/>
          <w:szCs w:val="24"/>
        </w:rPr>
        <w:t>.</w:t>
      </w:r>
    </w:p>
    <w:p w14:paraId="2478D11E" w14:textId="77777777" w:rsidR="00BD6321" w:rsidRPr="00AE4FCC" w:rsidRDefault="00BD6321" w:rsidP="00D65162">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ontextualSpacing/>
        <w:rPr>
          <w:color w:val="000000"/>
          <w:szCs w:val="24"/>
        </w:rPr>
      </w:pPr>
    </w:p>
    <w:p w14:paraId="49FB3F38" w14:textId="77777777" w:rsidR="00BD6321" w:rsidRPr="00AE4FCC" w:rsidRDefault="00BD6321" w:rsidP="00D65162">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contextualSpacing/>
        <w:rPr>
          <w:color w:val="000000"/>
          <w:szCs w:val="24"/>
        </w:rPr>
      </w:pPr>
      <w:r w:rsidRPr="00AE4FCC">
        <w:rPr>
          <w:color w:val="000000"/>
          <w:szCs w:val="24"/>
        </w:rPr>
        <w:t>Angie Maxwell and Todd G. Shields,</w:t>
      </w:r>
      <w:r w:rsidRPr="00AE4FCC">
        <w:rPr>
          <w:i/>
          <w:color w:val="000000"/>
          <w:szCs w:val="24"/>
        </w:rPr>
        <w:t xml:space="preserve"> Unlocking V.O. Key. Jr.: Southern Politics for the Twenty-First Century</w:t>
      </w:r>
      <w:r w:rsidRPr="00AE4FCC">
        <w:rPr>
          <w:color w:val="000000"/>
          <w:szCs w:val="24"/>
        </w:rPr>
        <w:t xml:space="preserve">, in </w:t>
      </w:r>
      <w:r w:rsidRPr="00AE4FCC">
        <w:rPr>
          <w:i/>
          <w:color w:val="000000"/>
          <w:szCs w:val="24"/>
        </w:rPr>
        <w:t>Journal of American History</w:t>
      </w:r>
      <w:r w:rsidRPr="00AE4FCC">
        <w:rPr>
          <w:color w:val="000000"/>
          <w:szCs w:val="24"/>
        </w:rPr>
        <w:t>, 99 (2012), 970-71.</w:t>
      </w:r>
    </w:p>
    <w:p w14:paraId="46B52095" w14:textId="77777777" w:rsidR="00BD6321" w:rsidRPr="00AE4FCC" w:rsidRDefault="00BD6321" w:rsidP="00D65162">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ontextualSpacing/>
        <w:rPr>
          <w:color w:val="000000"/>
          <w:szCs w:val="24"/>
        </w:rPr>
      </w:pPr>
    </w:p>
    <w:p w14:paraId="2DAFDAC8" w14:textId="77777777" w:rsidR="00BD6321" w:rsidRPr="00AE4FCC" w:rsidRDefault="00BD6321" w:rsidP="00D65162">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contextualSpacing/>
        <w:rPr>
          <w:color w:val="000000"/>
          <w:szCs w:val="24"/>
        </w:rPr>
      </w:pPr>
      <w:r w:rsidRPr="00AE4FCC">
        <w:rPr>
          <w:color w:val="000000"/>
          <w:szCs w:val="24"/>
        </w:rPr>
        <w:t xml:space="preserve">“The Immutability of Categories and the Reshaping of Southern Politics,” </w:t>
      </w:r>
      <w:r w:rsidRPr="00AE4FCC">
        <w:rPr>
          <w:i/>
          <w:color w:val="000000"/>
          <w:szCs w:val="24"/>
        </w:rPr>
        <w:t>Annual Reviews of Political Science</w:t>
      </w:r>
      <w:r w:rsidRPr="00AE4FCC">
        <w:rPr>
          <w:color w:val="000000"/>
          <w:szCs w:val="24"/>
        </w:rPr>
        <w:t xml:space="preserve"> (online at &lt;http://arjournals.annualreviews.org/eprint/NUV9MahREcFAzpPdT172/full/10.1146/annurev.polisci.033008.091519&gt;)</w:t>
      </w:r>
      <w:r w:rsidR="00D65162" w:rsidRPr="00AE4FCC">
        <w:rPr>
          <w:color w:val="000000"/>
          <w:szCs w:val="24"/>
        </w:rPr>
        <w:t xml:space="preserve"> </w:t>
      </w:r>
      <w:r w:rsidRPr="00AE4FCC">
        <w:rPr>
          <w:color w:val="000000"/>
          <w:szCs w:val="24"/>
        </w:rPr>
        <w:t>13 (2010), 365-83</w:t>
      </w:r>
      <w:r w:rsidR="002478E5" w:rsidRPr="00AE4FCC">
        <w:rPr>
          <w:color w:val="000000"/>
          <w:szCs w:val="24"/>
        </w:rPr>
        <w:t>.</w:t>
      </w:r>
    </w:p>
    <w:p w14:paraId="4E68FEA6" w14:textId="77777777" w:rsidR="002478E5" w:rsidRPr="00AE4FCC" w:rsidRDefault="002478E5" w:rsidP="00D65162">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contextualSpacing/>
        <w:rPr>
          <w:color w:val="000000"/>
          <w:szCs w:val="24"/>
        </w:rPr>
      </w:pPr>
    </w:p>
    <w:p w14:paraId="2CFE17E6" w14:textId="77777777" w:rsidR="00BD6321" w:rsidRPr="00AE4FCC" w:rsidRDefault="00BD6321" w:rsidP="00D65162">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contextualSpacing/>
        <w:rPr>
          <w:color w:val="000000"/>
          <w:szCs w:val="24"/>
        </w:rPr>
      </w:pPr>
      <w:r w:rsidRPr="00AE4FCC">
        <w:rPr>
          <w:color w:val="000000"/>
          <w:szCs w:val="24"/>
        </w:rPr>
        <w:t xml:space="preserve">Simon Topping, </w:t>
      </w:r>
      <w:r w:rsidRPr="00AE4FCC">
        <w:rPr>
          <w:i/>
          <w:color w:val="000000"/>
          <w:szCs w:val="24"/>
        </w:rPr>
        <w:t>Lincoln’s Lost Legacy: The Republican Party and the African American Vote, 1928-1952</w:t>
      </w:r>
      <w:r w:rsidRPr="00AE4FCC">
        <w:rPr>
          <w:color w:val="000000"/>
          <w:szCs w:val="24"/>
        </w:rPr>
        <w:t xml:space="preserve">, in </w:t>
      </w:r>
      <w:r w:rsidRPr="00AE4FCC">
        <w:rPr>
          <w:i/>
          <w:color w:val="000000"/>
          <w:szCs w:val="24"/>
        </w:rPr>
        <w:t>American Review of Politics</w:t>
      </w:r>
      <w:r w:rsidRPr="00AE4FCC">
        <w:rPr>
          <w:color w:val="000000"/>
          <w:szCs w:val="24"/>
        </w:rPr>
        <w:t>, 29 (Fall and Winter</w:t>
      </w:r>
      <w:r w:rsidR="00F23443" w:rsidRPr="00AE4FCC">
        <w:rPr>
          <w:color w:val="000000"/>
          <w:szCs w:val="24"/>
        </w:rPr>
        <w:t xml:space="preserve"> </w:t>
      </w:r>
      <w:r w:rsidRPr="00AE4FCC">
        <w:rPr>
          <w:color w:val="000000"/>
          <w:szCs w:val="24"/>
        </w:rPr>
        <w:t>2008-2009), 400-02.</w:t>
      </w:r>
    </w:p>
    <w:p w14:paraId="2AE7941E" w14:textId="77777777" w:rsidR="00BD6321" w:rsidRPr="00AE4FCC" w:rsidRDefault="00BD6321" w:rsidP="00D65162">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ontextualSpacing/>
        <w:rPr>
          <w:color w:val="000000"/>
          <w:szCs w:val="24"/>
        </w:rPr>
      </w:pPr>
    </w:p>
    <w:p w14:paraId="112A1A45" w14:textId="66967048" w:rsidR="00BD6321" w:rsidRPr="00AE4FCC" w:rsidRDefault="00BD6321" w:rsidP="00D65162">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contextualSpacing/>
        <w:rPr>
          <w:color w:val="000000"/>
          <w:szCs w:val="24"/>
        </w:rPr>
      </w:pPr>
      <w:r w:rsidRPr="00AE4FCC">
        <w:rPr>
          <w:color w:val="000000"/>
          <w:szCs w:val="24"/>
        </w:rPr>
        <w:t xml:space="preserve">Brian K. Landsberg, </w:t>
      </w:r>
      <w:r w:rsidRPr="00AE4FCC">
        <w:rPr>
          <w:i/>
          <w:color w:val="000000"/>
          <w:szCs w:val="24"/>
        </w:rPr>
        <w:t>Free at Last to Vote: The Alabama Origins of the 1965 Voting Rights Act</w:t>
      </w:r>
      <w:r w:rsidRPr="00AE4FCC">
        <w:rPr>
          <w:color w:val="000000"/>
          <w:szCs w:val="24"/>
        </w:rPr>
        <w:t>, in</w:t>
      </w:r>
      <w:r w:rsidR="008F6761" w:rsidRPr="00AE4FCC">
        <w:rPr>
          <w:color w:val="000000"/>
          <w:szCs w:val="24"/>
        </w:rPr>
        <w:t xml:space="preserve"> </w:t>
      </w:r>
      <w:r w:rsidRPr="00AE4FCC">
        <w:rPr>
          <w:i/>
          <w:color w:val="000000"/>
          <w:szCs w:val="24"/>
        </w:rPr>
        <w:t>Law and Politics Book Review</w:t>
      </w:r>
      <w:r w:rsidRPr="00AE4FCC">
        <w:rPr>
          <w:color w:val="000000"/>
          <w:szCs w:val="24"/>
        </w:rPr>
        <w:t>, available at:</w:t>
      </w:r>
      <w:r w:rsidR="008F6761" w:rsidRPr="00AE4FCC">
        <w:rPr>
          <w:color w:val="000000"/>
          <w:szCs w:val="24"/>
        </w:rPr>
        <w:t xml:space="preserve"> </w:t>
      </w:r>
      <w:hyperlink r:id="rId13" w:history="1">
        <w:r w:rsidR="00841B78">
          <w:rPr>
            <w:rStyle w:val="Hyperlink"/>
          </w:rPr>
          <w:t>https://authors.library.caltech.edu/41226/1/Landsberg%20review%2C%20as%20published.pdf</w:t>
        </w:r>
      </w:hyperlink>
      <w:r w:rsidR="00841B78">
        <w:t>.</w:t>
      </w:r>
    </w:p>
    <w:p w14:paraId="173E749A" w14:textId="77777777" w:rsidR="00BD6321" w:rsidRPr="00AE4FCC" w:rsidRDefault="00BD6321" w:rsidP="00D65162">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ontextualSpacing/>
        <w:rPr>
          <w:color w:val="000000"/>
          <w:szCs w:val="24"/>
        </w:rPr>
      </w:pPr>
    </w:p>
    <w:p w14:paraId="520BFFE0" w14:textId="77777777" w:rsidR="00BD6321" w:rsidRPr="00AE4FCC" w:rsidRDefault="00BD6321" w:rsidP="00D65162">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contextualSpacing/>
        <w:rPr>
          <w:color w:val="000000"/>
          <w:szCs w:val="24"/>
        </w:rPr>
      </w:pPr>
      <w:r w:rsidRPr="00AE4FCC">
        <w:rPr>
          <w:color w:val="000000"/>
          <w:szCs w:val="24"/>
        </w:rPr>
        <w:t>Ron Hayduk.</w:t>
      </w:r>
      <w:r w:rsidR="008F6761" w:rsidRPr="00AE4FCC">
        <w:rPr>
          <w:color w:val="000000"/>
          <w:szCs w:val="24"/>
        </w:rPr>
        <w:t xml:space="preserve"> </w:t>
      </w:r>
      <w:r w:rsidRPr="00AE4FCC">
        <w:rPr>
          <w:i/>
          <w:color w:val="000000"/>
          <w:szCs w:val="24"/>
        </w:rPr>
        <w:t>Democracy for All: Restoring Immigrant Voting Rights in the United States</w:t>
      </w:r>
      <w:r w:rsidRPr="00AE4FCC">
        <w:rPr>
          <w:color w:val="000000"/>
          <w:szCs w:val="24"/>
        </w:rPr>
        <w:t xml:space="preserve">, in </w:t>
      </w:r>
      <w:r w:rsidRPr="00AE4FCC">
        <w:rPr>
          <w:i/>
          <w:color w:val="000000"/>
          <w:szCs w:val="24"/>
        </w:rPr>
        <w:t xml:space="preserve">Political Science Quarterly </w:t>
      </w:r>
      <w:r w:rsidRPr="00AE4FCC">
        <w:rPr>
          <w:color w:val="000000"/>
          <w:szCs w:val="24"/>
        </w:rPr>
        <w:t>121(2006-07), 724-26.</w:t>
      </w:r>
    </w:p>
    <w:p w14:paraId="31641C9A" w14:textId="77777777" w:rsidR="00BD6321" w:rsidRPr="00AE4FCC" w:rsidRDefault="00BD6321" w:rsidP="00D65162">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ontextualSpacing/>
        <w:rPr>
          <w:color w:val="000000"/>
          <w:szCs w:val="24"/>
        </w:rPr>
      </w:pPr>
    </w:p>
    <w:p w14:paraId="68AA0CD2" w14:textId="77777777" w:rsidR="00BD6321" w:rsidRPr="00AE4FCC" w:rsidRDefault="00BD6321" w:rsidP="00D65162">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contextualSpacing/>
        <w:rPr>
          <w:color w:val="000000"/>
          <w:szCs w:val="24"/>
        </w:rPr>
      </w:pPr>
      <w:r w:rsidRPr="00AE4FCC">
        <w:rPr>
          <w:color w:val="000000"/>
          <w:szCs w:val="24"/>
        </w:rPr>
        <w:t xml:space="preserve">Jeff Manza and Christopher </w:t>
      </w:r>
      <w:proofErr w:type="spellStart"/>
      <w:r w:rsidRPr="00AE4FCC">
        <w:rPr>
          <w:color w:val="000000"/>
          <w:szCs w:val="24"/>
        </w:rPr>
        <w:t>Uggen</w:t>
      </w:r>
      <w:proofErr w:type="spellEnd"/>
      <w:r w:rsidRPr="00AE4FCC">
        <w:rPr>
          <w:color w:val="000000"/>
          <w:szCs w:val="24"/>
        </w:rPr>
        <w:t>.</w:t>
      </w:r>
      <w:r w:rsidR="008F6761" w:rsidRPr="00AE4FCC">
        <w:rPr>
          <w:color w:val="000000"/>
          <w:szCs w:val="24"/>
        </w:rPr>
        <w:t xml:space="preserve"> </w:t>
      </w:r>
      <w:r w:rsidRPr="00AE4FCC">
        <w:rPr>
          <w:i/>
          <w:color w:val="000000"/>
          <w:szCs w:val="24"/>
        </w:rPr>
        <w:t>Locked Out: Felon Disenfranchisement and American Democracy</w:t>
      </w:r>
      <w:r w:rsidRPr="00AE4FCC">
        <w:rPr>
          <w:color w:val="000000"/>
          <w:szCs w:val="24"/>
        </w:rPr>
        <w:t xml:space="preserve">, and Sasha Abramsky, </w:t>
      </w:r>
      <w:r w:rsidRPr="00AE4FCC">
        <w:rPr>
          <w:i/>
          <w:color w:val="000000"/>
          <w:szCs w:val="24"/>
        </w:rPr>
        <w:t>Conned: How Millions Went to Prison, Lost the Vote, and Helped Send George W. Bush to the White House</w:t>
      </w:r>
      <w:r w:rsidRPr="00AE4FCC">
        <w:rPr>
          <w:color w:val="000000"/>
          <w:szCs w:val="24"/>
        </w:rPr>
        <w:t xml:space="preserve">, in </w:t>
      </w:r>
      <w:r w:rsidRPr="00AE4FCC">
        <w:rPr>
          <w:i/>
          <w:color w:val="000000"/>
          <w:szCs w:val="24"/>
        </w:rPr>
        <w:t>Election Law Journal</w:t>
      </w:r>
      <w:r w:rsidRPr="00AE4FCC">
        <w:rPr>
          <w:color w:val="000000"/>
          <w:szCs w:val="24"/>
        </w:rPr>
        <w:t>, 6 (2007), 104-12.</w:t>
      </w:r>
    </w:p>
    <w:p w14:paraId="5EBABC10" w14:textId="77777777" w:rsidR="00BD6321" w:rsidRPr="00AE4FCC" w:rsidRDefault="00BD6321" w:rsidP="00D65162">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ontextualSpacing/>
        <w:rPr>
          <w:color w:val="000000"/>
          <w:szCs w:val="24"/>
        </w:rPr>
      </w:pPr>
    </w:p>
    <w:p w14:paraId="3CCDA19B" w14:textId="77777777" w:rsidR="00BD6321" w:rsidRPr="00AE4FCC" w:rsidRDefault="00BD6321" w:rsidP="00D65162">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contextualSpacing/>
        <w:rPr>
          <w:color w:val="000000"/>
          <w:szCs w:val="24"/>
        </w:rPr>
      </w:pPr>
      <w:r w:rsidRPr="00AE4FCC">
        <w:rPr>
          <w:color w:val="000000"/>
          <w:szCs w:val="24"/>
        </w:rPr>
        <w:t xml:space="preserve">Peter F. Lau, Editor, </w:t>
      </w:r>
      <w:r w:rsidRPr="00AE4FCC">
        <w:rPr>
          <w:i/>
          <w:color w:val="000000"/>
          <w:szCs w:val="24"/>
        </w:rPr>
        <w:t>From the Grassroots to the Supreme Court</w:t>
      </w:r>
      <w:r w:rsidRPr="00AE4FCC">
        <w:rPr>
          <w:color w:val="000000"/>
          <w:szCs w:val="24"/>
        </w:rPr>
        <w:t xml:space="preserve">: </w:t>
      </w:r>
      <w:r w:rsidRPr="00AE4FCC">
        <w:rPr>
          <w:i/>
          <w:color w:val="000000"/>
          <w:szCs w:val="24"/>
        </w:rPr>
        <w:t>Brown v. Board of Education and American Democracy</w:t>
      </w:r>
      <w:r w:rsidRPr="00AE4FCC">
        <w:rPr>
          <w:color w:val="000000"/>
          <w:szCs w:val="24"/>
        </w:rPr>
        <w:t xml:space="preserve">, in </w:t>
      </w:r>
      <w:r w:rsidRPr="00AE4FCC">
        <w:rPr>
          <w:i/>
          <w:color w:val="000000"/>
          <w:szCs w:val="24"/>
        </w:rPr>
        <w:t>American Historical Review</w:t>
      </w:r>
      <w:r w:rsidRPr="00AE4FCC">
        <w:rPr>
          <w:color w:val="000000"/>
          <w:szCs w:val="24"/>
        </w:rPr>
        <w:t xml:space="preserve"> 111 (2006), 231-32.</w:t>
      </w:r>
    </w:p>
    <w:p w14:paraId="37BD9173" w14:textId="77777777" w:rsidR="00BD6321" w:rsidRPr="00AE4FCC" w:rsidRDefault="00BD6321" w:rsidP="00D65162">
      <w:pPr>
        <w:widowControl w:val="0"/>
        <w:tabs>
          <w:tab w:val="left" w:pos="-1241"/>
          <w:tab w:val="left" w:pos="-720"/>
          <w:tab w:val="left" w:pos="0"/>
          <w:tab w:val="left" w:pos="720"/>
          <w:tab w:val="left" w:pos="1440"/>
          <w:tab w:val="left" w:pos="2160"/>
          <w:tab w:val="left" w:pos="243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ontextualSpacing/>
        <w:rPr>
          <w:color w:val="000000"/>
          <w:szCs w:val="24"/>
        </w:rPr>
      </w:pPr>
    </w:p>
    <w:p w14:paraId="7E81AFF5"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 xml:space="preserve">Glenn Feldman, </w:t>
      </w:r>
      <w:r w:rsidRPr="00AE4FCC">
        <w:rPr>
          <w:i/>
          <w:color w:val="000000"/>
          <w:szCs w:val="24"/>
        </w:rPr>
        <w:t>The Disfranchisement Myth: Poor Whites and Suffrage Restriction in Alabama</w:t>
      </w:r>
      <w:r w:rsidRPr="00AE4FCC">
        <w:rPr>
          <w:color w:val="000000"/>
          <w:szCs w:val="24"/>
        </w:rPr>
        <w:t xml:space="preserve">, </w:t>
      </w:r>
    </w:p>
    <w:p w14:paraId="50483946"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ab/>
        <w:t xml:space="preserve">in </w:t>
      </w:r>
      <w:r w:rsidRPr="00AE4FCC">
        <w:rPr>
          <w:i/>
          <w:color w:val="000000"/>
          <w:szCs w:val="24"/>
        </w:rPr>
        <w:t>The Journal of Interdisciplinary History</w:t>
      </w:r>
      <w:r w:rsidRPr="00AE4FCC">
        <w:rPr>
          <w:color w:val="000000"/>
          <w:szCs w:val="24"/>
        </w:rPr>
        <w:t>, 37 (2007), 646-47.</w:t>
      </w:r>
    </w:p>
    <w:p w14:paraId="7DCA023A" w14:textId="77777777" w:rsidR="00D65162" w:rsidRPr="00AE4FCC" w:rsidRDefault="00D65162"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49C45611"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 xml:space="preserve">John B. Boles and Bethany L. Johnson, eds., </w:t>
      </w:r>
      <w:r w:rsidRPr="00AE4FCC">
        <w:rPr>
          <w:i/>
          <w:color w:val="000000"/>
          <w:szCs w:val="24"/>
        </w:rPr>
        <w:t>Origins of the New South Fifty Years Later: The Continuing Influence of a Historical Classic</w:t>
      </w:r>
      <w:r w:rsidRPr="00AE4FCC">
        <w:rPr>
          <w:color w:val="000000"/>
          <w:szCs w:val="24"/>
        </w:rPr>
        <w:t xml:space="preserve">, in </w:t>
      </w:r>
      <w:r w:rsidRPr="00AE4FCC">
        <w:rPr>
          <w:i/>
          <w:color w:val="000000"/>
          <w:szCs w:val="24"/>
        </w:rPr>
        <w:t>The Historian</w:t>
      </w:r>
      <w:r w:rsidRPr="00AE4FCC">
        <w:rPr>
          <w:color w:val="000000"/>
          <w:szCs w:val="24"/>
        </w:rPr>
        <w:t>, 67 (2005), 307-09.</w:t>
      </w:r>
    </w:p>
    <w:p w14:paraId="0C26B2B4"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43A265C7"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 xml:space="preserve">Charles H. Feinstein and Mark Thomas, </w:t>
      </w:r>
      <w:r w:rsidRPr="00AE4FCC">
        <w:rPr>
          <w:i/>
          <w:color w:val="000000"/>
          <w:szCs w:val="24"/>
        </w:rPr>
        <w:t>Making History Count: A primer in quantitative methods for historians</w:t>
      </w:r>
      <w:r w:rsidRPr="00AE4FCC">
        <w:rPr>
          <w:color w:val="000000"/>
          <w:szCs w:val="24"/>
        </w:rPr>
        <w:t xml:space="preserve">, in </w:t>
      </w:r>
      <w:r w:rsidRPr="00AE4FCC">
        <w:rPr>
          <w:i/>
          <w:color w:val="000000"/>
          <w:szCs w:val="24"/>
        </w:rPr>
        <w:t>Journal of Interdisciplinary History</w:t>
      </w:r>
      <w:r w:rsidRPr="00AE4FCC">
        <w:rPr>
          <w:color w:val="000000"/>
          <w:szCs w:val="24"/>
        </w:rPr>
        <w:t>, 35 (2005), 622-23.</w:t>
      </w:r>
    </w:p>
    <w:p w14:paraId="48275A96"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28CAF76C"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 xml:space="preserve">John D. </w:t>
      </w:r>
      <w:proofErr w:type="spellStart"/>
      <w:r w:rsidRPr="00AE4FCC">
        <w:rPr>
          <w:color w:val="000000"/>
          <w:szCs w:val="24"/>
        </w:rPr>
        <w:t>Skrentny</w:t>
      </w:r>
      <w:proofErr w:type="spellEnd"/>
      <w:r w:rsidRPr="00AE4FCC">
        <w:rPr>
          <w:color w:val="000000"/>
          <w:szCs w:val="24"/>
        </w:rPr>
        <w:t xml:space="preserve">, </w:t>
      </w:r>
      <w:r w:rsidRPr="00AE4FCC">
        <w:rPr>
          <w:i/>
          <w:color w:val="000000"/>
          <w:szCs w:val="24"/>
        </w:rPr>
        <w:t>The Minority Rights Revolution</w:t>
      </w:r>
      <w:r w:rsidRPr="00AE4FCC">
        <w:rPr>
          <w:color w:val="000000"/>
          <w:szCs w:val="24"/>
        </w:rPr>
        <w:t xml:space="preserve">, in </w:t>
      </w:r>
      <w:r w:rsidRPr="00AE4FCC">
        <w:rPr>
          <w:i/>
          <w:color w:val="000000"/>
          <w:szCs w:val="24"/>
        </w:rPr>
        <w:t>Journal of American History</w:t>
      </w:r>
      <w:r w:rsidRPr="00AE4FCC">
        <w:rPr>
          <w:color w:val="000000"/>
          <w:szCs w:val="24"/>
        </w:rPr>
        <w:t xml:space="preserve"> 90 (2004), 1546-47.</w:t>
      </w:r>
    </w:p>
    <w:p w14:paraId="0D82B64A"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6A97F65E"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 xml:space="preserve">Jane Dailey, Glenda Elizabeth Gilmore, and Bryant Simon, eds., </w:t>
      </w:r>
      <w:proofErr w:type="spellStart"/>
      <w:r w:rsidRPr="00AE4FCC">
        <w:rPr>
          <w:i/>
          <w:color w:val="000000"/>
          <w:szCs w:val="24"/>
        </w:rPr>
        <w:t>Jumpin</w:t>
      </w:r>
      <w:proofErr w:type="spellEnd"/>
      <w:r w:rsidRPr="00AE4FCC">
        <w:rPr>
          <w:i/>
          <w:color w:val="000000"/>
          <w:szCs w:val="24"/>
        </w:rPr>
        <w:t>’ Jim Crow: Southern Politics from Civil War to Civil Rights</w:t>
      </w:r>
      <w:r w:rsidRPr="00AE4FCC">
        <w:rPr>
          <w:color w:val="000000"/>
          <w:szCs w:val="24"/>
        </w:rPr>
        <w:t xml:space="preserve">, in </w:t>
      </w:r>
      <w:r w:rsidRPr="00AE4FCC">
        <w:rPr>
          <w:i/>
          <w:color w:val="000000"/>
          <w:szCs w:val="24"/>
        </w:rPr>
        <w:t>Georgia Historical Quarterly</w:t>
      </w:r>
      <w:r w:rsidRPr="00AE4FCC">
        <w:rPr>
          <w:color w:val="000000"/>
          <w:szCs w:val="24"/>
        </w:rPr>
        <w:t xml:space="preserve"> 87 (2003), 427-48. </w:t>
      </w:r>
    </w:p>
    <w:p w14:paraId="62D36AE8"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63B942A9"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 xml:space="preserve">Laughlin McDonald, </w:t>
      </w:r>
      <w:r w:rsidRPr="00AE4FCC">
        <w:rPr>
          <w:i/>
          <w:color w:val="000000"/>
          <w:szCs w:val="24"/>
        </w:rPr>
        <w:t>A Voting Rights Odyssey: Black Enfranchisement in Georgia</w:t>
      </w:r>
      <w:r w:rsidRPr="00AE4FCC">
        <w:rPr>
          <w:color w:val="000000"/>
          <w:szCs w:val="24"/>
        </w:rPr>
        <w:t xml:space="preserve">, in </w:t>
      </w:r>
      <w:r w:rsidRPr="00AE4FCC">
        <w:rPr>
          <w:i/>
          <w:color w:val="000000"/>
          <w:szCs w:val="24"/>
        </w:rPr>
        <w:t xml:space="preserve">Election </w:t>
      </w:r>
      <w:r w:rsidRPr="00AE4FCC">
        <w:rPr>
          <w:i/>
          <w:color w:val="000000"/>
          <w:szCs w:val="24"/>
        </w:rPr>
        <w:lastRenderedPageBreak/>
        <w:t>Law Journal</w:t>
      </w:r>
      <w:r w:rsidRPr="00AE4FCC">
        <w:rPr>
          <w:color w:val="000000"/>
          <w:szCs w:val="24"/>
        </w:rPr>
        <w:t xml:space="preserve"> 3 (2003), 53-62.</w:t>
      </w:r>
    </w:p>
    <w:p w14:paraId="553F3B50"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75D357CE"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 xml:space="preserve">Michael Perman, </w:t>
      </w:r>
      <w:r w:rsidRPr="00AE4FCC">
        <w:rPr>
          <w:i/>
          <w:color w:val="000000"/>
          <w:szCs w:val="24"/>
        </w:rPr>
        <w:t>Struggle for Mastery: Disfranchisement in the South, 1888-1908</w:t>
      </w:r>
      <w:r w:rsidRPr="00AE4FCC">
        <w:rPr>
          <w:color w:val="000000"/>
          <w:szCs w:val="24"/>
        </w:rPr>
        <w:t xml:space="preserve">, </w:t>
      </w:r>
      <w:r w:rsidR="00D1485D" w:rsidRPr="00AE4FCC">
        <w:rPr>
          <w:color w:val="000000"/>
          <w:szCs w:val="24"/>
        </w:rPr>
        <w:t xml:space="preserve">in </w:t>
      </w:r>
      <w:r w:rsidRPr="00AE4FCC">
        <w:rPr>
          <w:i/>
          <w:color w:val="000000"/>
          <w:szCs w:val="24"/>
        </w:rPr>
        <w:t>Journal of Interdisciplinary History</w:t>
      </w:r>
      <w:r w:rsidRPr="00AE4FCC">
        <w:rPr>
          <w:color w:val="000000"/>
          <w:szCs w:val="24"/>
        </w:rPr>
        <w:t xml:space="preserve"> 34 (2003), 109-10.</w:t>
      </w:r>
    </w:p>
    <w:p w14:paraId="47DC81AE" w14:textId="77777777" w:rsidR="002478E5" w:rsidRPr="00AE4FCC" w:rsidRDefault="002478E5"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p>
    <w:p w14:paraId="7167D630"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 xml:space="preserve">Robert M. Goldman, </w:t>
      </w:r>
      <w:r w:rsidRPr="00AE4FCC">
        <w:rPr>
          <w:i/>
          <w:color w:val="000000"/>
          <w:szCs w:val="24"/>
        </w:rPr>
        <w:t xml:space="preserve">Reconstruction and Black Suffrage: Losing the Vote in </w:t>
      </w:r>
      <w:r w:rsidRPr="00AE4FCC">
        <w:rPr>
          <w:i/>
          <w:color w:val="000000"/>
          <w:szCs w:val="24"/>
          <w:u w:val="single"/>
        </w:rPr>
        <w:t>Reese</w:t>
      </w:r>
      <w:r w:rsidR="002478E5" w:rsidRPr="00AE4FCC">
        <w:rPr>
          <w:i/>
          <w:color w:val="000000"/>
          <w:szCs w:val="24"/>
        </w:rPr>
        <w:t xml:space="preserve"> and </w:t>
      </w:r>
      <w:r w:rsidRPr="00AE4FCC">
        <w:rPr>
          <w:i/>
          <w:color w:val="000000"/>
          <w:szCs w:val="24"/>
          <w:u w:val="single"/>
        </w:rPr>
        <w:t>Cruikshank</w:t>
      </w:r>
      <w:r w:rsidRPr="00AE4FCC">
        <w:rPr>
          <w:color w:val="000000"/>
          <w:szCs w:val="24"/>
        </w:rPr>
        <w:t>,” on H-POL, H-NET Reviews, March 2003.</w:t>
      </w:r>
      <w:r w:rsidR="008F6761" w:rsidRPr="00AE4FCC">
        <w:rPr>
          <w:color w:val="000000"/>
          <w:szCs w:val="24"/>
        </w:rPr>
        <w:t xml:space="preserve"> </w:t>
      </w:r>
      <w:r w:rsidRPr="00AE4FCC">
        <w:rPr>
          <w:color w:val="000000"/>
          <w:szCs w:val="24"/>
        </w:rPr>
        <w:t xml:space="preserve">URL: </w:t>
      </w:r>
      <w:r w:rsidR="006707BA" w:rsidRPr="006707BA">
        <w:rPr>
          <w:color w:val="000000"/>
          <w:szCs w:val="24"/>
        </w:rPr>
        <w:t>https://networks.h-net.org/node/9997/reviews/10648/kousser-goldman-reconstruction-and-black-suffrage-losing-vote-reese-and</w:t>
      </w:r>
      <w:r w:rsidR="006707BA">
        <w:rPr>
          <w:color w:val="000000"/>
          <w:szCs w:val="24"/>
        </w:rPr>
        <w:t>.</w:t>
      </w:r>
    </w:p>
    <w:p w14:paraId="3790D172"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49BFCC5E"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 xml:space="preserve">Alexander </w:t>
      </w:r>
      <w:proofErr w:type="spellStart"/>
      <w:r w:rsidRPr="00AE4FCC">
        <w:rPr>
          <w:color w:val="000000"/>
          <w:szCs w:val="24"/>
        </w:rPr>
        <w:t>Keyssar</w:t>
      </w:r>
      <w:proofErr w:type="spellEnd"/>
      <w:r w:rsidRPr="00AE4FCC">
        <w:rPr>
          <w:color w:val="000000"/>
          <w:szCs w:val="24"/>
        </w:rPr>
        <w:t xml:space="preserve">, </w:t>
      </w:r>
      <w:r w:rsidRPr="00AE4FCC">
        <w:rPr>
          <w:i/>
          <w:color w:val="000000"/>
          <w:szCs w:val="24"/>
        </w:rPr>
        <w:t>The Right to Vote: The Contested History of Democracy in the United States</w:t>
      </w:r>
      <w:r w:rsidRPr="00AE4FCC">
        <w:rPr>
          <w:color w:val="000000"/>
          <w:szCs w:val="24"/>
        </w:rPr>
        <w:t xml:space="preserve"> and Mark Lawrence Kornbluh, </w:t>
      </w:r>
      <w:r w:rsidRPr="00AE4FCC">
        <w:rPr>
          <w:i/>
          <w:color w:val="000000"/>
          <w:szCs w:val="24"/>
        </w:rPr>
        <w:t>Why America Stopped Voting: The Decline of Participatory Democracy and the Emergence of Modern American Politics</w:t>
      </w:r>
      <w:r w:rsidRPr="00AE4FCC">
        <w:rPr>
          <w:color w:val="000000"/>
          <w:szCs w:val="24"/>
        </w:rPr>
        <w:t xml:space="preserve">, </w:t>
      </w:r>
      <w:r w:rsidR="00D1485D" w:rsidRPr="00AE4FCC">
        <w:rPr>
          <w:color w:val="000000"/>
          <w:szCs w:val="24"/>
        </w:rPr>
        <w:t xml:space="preserve">in </w:t>
      </w:r>
      <w:r w:rsidRPr="00AE4FCC">
        <w:rPr>
          <w:i/>
          <w:color w:val="000000"/>
          <w:szCs w:val="24"/>
        </w:rPr>
        <w:t>Journal of American History</w:t>
      </w:r>
      <w:r w:rsidRPr="00AE4FCC">
        <w:rPr>
          <w:color w:val="000000"/>
          <w:szCs w:val="24"/>
        </w:rPr>
        <w:t xml:space="preserve"> 88 (2001), 1044-46.</w:t>
      </w:r>
    </w:p>
    <w:p w14:paraId="5E1016B3"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2A43C817"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 xml:space="preserve">Miles Fairburn, </w:t>
      </w:r>
      <w:r w:rsidRPr="00AE4FCC">
        <w:rPr>
          <w:i/>
          <w:color w:val="000000"/>
          <w:szCs w:val="24"/>
        </w:rPr>
        <w:t>Social History: Problems, Strategies and Methods</w:t>
      </w:r>
      <w:r w:rsidRPr="00AE4FCC">
        <w:rPr>
          <w:color w:val="000000"/>
          <w:szCs w:val="24"/>
        </w:rPr>
        <w:t xml:space="preserve">, in </w:t>
      </w:r>
      <w:r w:rsidRPr="00AE4FCC">
        <w:rPr>
          <w:i/>
          <w:color w:val="000000"/>
          <w:szCs w:val="24"/>
        </w:rPr>
        <w:t>Journal of Interdisciplinary History</w:t>
      </w:r>
      <w:r w:rsidRPr="00AE4FCC">
        <w:rPr>
          <w:color w:val="000000"/>
          <w:szCs w:val="24"/>
        </w:rPr>
        <w:t xml:space="preserve"> 31 (2000), 247-48.</w:t>
      </w:r>
    </w:p>
    <w:p w14:paraId="055FE5E3"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4B02EC89"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 xml:space="preserve">Kenneth C. Barnes, </w:t>
      </w:r>
      <w:r w:rsidRPr="00AE4FCC">
        <w:rPr>
          <w:i/>
          <w:color w:val="000000"/>
          <w:szCs w:val="24"/>
        </w:rPr>
        <w:t>Who Killed John Clayton? Political Violence and the Emergence of the New South, 1861-1893</w:t>
      </w:r>
      <w:r w:rsidRPr="00AE4FCC">
        <w:rPr>
          <w:color w:val="000000"/>
          <w:szCs w:val="24"/>
        </w:rPr>
        <w:t xml:space="preserve">, on H-Pol, H-Net Reviews, </w:t>
      </w:r>
      <w:r w:rsidR="008F6761" w:rsidRPr="00AE4FCC">
        <w:rPr>
          <w:color w:val="000000"/>
          <w:szCs w:val="24"/>
        </w:rPr>
        <w:t>(</w:t>
      </w:r>
      <w:r w:rsidRPr="00AE4FCC">
        <w:rPr>
          <w:color w:val="000000"/>
          <w:szCs w:val="24"/>
        </w:rPr>
        <w:t>July 1999</w:t>
      </w:r>
      <w:r w:rsidR="008F6761" w:rsidRPr="00AE4FCC">
        <w:rPr>
          <w:color w:val="000000"/>
          <w:szCs w:val="24"/>
        </w:rPr>
        <w:t>)</w:t>
      </w:r>
      <w:r w:rsidRPr="00AE4FCC">
        <w:rPr>
          <w:color w:val="000000"/>
          <w:szCs w:val="24"/>
        </w:rPr>
        <w:t xml:space="preserve"> URL:</w:t>
      </w:r>
      <w:r w:rsidR="008F6761" w:rsidRPr="00AE4FCC">
        <w:rPr>
          <w:color w:val="000000"/>
          <w:szCs w:val="24"/>
        </w:rPr>
        <w:t xml:space="preserve"> </w:t>
      </w:r>
      <w:hyperlink r:id="rId14" w:history="1">
        <w:r w:rsidR="008F6761" w:rsidRPr="00AE4FCC">
          <w:rPr>
            <w:rStyle w:val="Hyperlink"/>
            <w:szCs w:val="24"/>
          </w:rPr>
          <w:t>https://networks.h-net.org/node/9997/reviews/10532/kousser-barnes-who-killed-john-clayton-political-violence-and-emergence</w:t>
        </w:r>
      </w:hyperlink>
      <w:r w:rsidR="008F6761" w:rsidRPr="00AE4FCC">
        <w:rPr>
          <w:szCs w:val="24"/>
        </w:rPr>
        <w:t xml:space="preserve">. </w:t>
      </w:r>
    </w:p>
    <w:p w14:paraId="4A393104"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0F1A39DA"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 xml:space="preserve">Lee J. Alston and Joseph P. Ferrie, </w:t>
      </w:r>
      <w:r w:rsidRPr="00AE4FCC">
        <w:rPr>
          <w:i/>
          <w:color w:val="000000"/>
          <w:szCs w:val="24"/>
        </w:rPr>
        <w:t>Southern Paternalism and the American Welfare State:</w:t>
      </w:r>
      <w:r w:rsidR="008F6761" w:rsidRPr="00AE4FCC">
        <w:rPr>
          <w:i/>
          <w:color w:val="000000"/>
          <w:szCs w:val="24"/>
        </w:rPr>
        <w:t xml:space="preserve"> </w:t>
      </w:r>
      <w:r w:rsidRPr="00AE4FCC">
        <w:rPr>
          <w:i/>
          <w:color w:val="000000"/>
          <w:szCs w:val="24"/>
        </w:rPr>
        <w:t>Economics, Politics, and Institutions in the South, 1865-1965</w:t>
      </w:r>
      <w:r w:rsidRPr="00AE4FCC">
        <w:rPr>
          <w:color w:val="000000"/>
          <w:szCs w:val="24"/>
        </w:rPr>
        <w:t xml:space="preserve">, in </w:t>
      </w:r>
      <w:r w:rsidRPr="00AE4FCC">
        <w:rPr>
          <w:i/>
          <w:color w:val="000000"/>
          <w:szCs w:val="24"/>
        </w:rPr>
        <w:t>The Independent Review</w:t>
      </w:r>
      <w:r w:rsidRPr="00AE4FCC">
        <w:rPr>
          <w:color w:val="000000"/>
          <w:szCs w:val="24"/>
        </w:rPr>
        <w:t>, 4 (Winter, 2000).</w:t>
      </w:r>
    </w:p>
    <w:p w14:paraId="7C2A1A09"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7635D429"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 xml:space="preserve">Keith J. Bybee, </w:t>
      </w:r>
      <w:r w:rsidRPr="00AE4FCC">
        <w:rPr>
          <w:i/>
          <w:color w:val="000000"/>
          <w:szCs w:val="24"/>
        </w:rPr>
        <w:t>Mistaken Identity: The Supreme Court and the Politics of Minority Representation</w:t>
      </w:r>
      <w:r w:rsidRPr="00AE4FCC">
        <w:rPr>
          <w:color w:val="000000"/>
          <w:szCs w:val="24"/>
        </w:rPr>
        <w:t xml:space="preserve">, in </w:t>
      </w:r>
      <w:r w:rsidRPr="00AE4FCC">
        <w:rPr>
          <w:i/>
          <w:color w:val="000000"/>
          <w:szCs w:val="24"/>
        </w:rPr>
        <w:t>American Political Science Review</w:t>
      </w:r>
      <w:r w:rsidRPr="00AE4FCC">
        <w:rPr>
          <w:color w:val="000000"/>
          <w:szCs w:val="24"/>
        </w:rPr>
        <w:t xml:space="preserve"> 93 (1999), 968-69.</w:t>
      </w:r>
    </w:p>
    <w:p w14:paraId="0A1923B5"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017B7F25"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 xml:space="preserve">Ward M. McAfee, </w:t>
      </w:r>
      <w:r w:rsidRPr="00AE4FCC">
        <w:rPr>
          <w:i/>
          <w:color w:val="000000"/>
          <w:szCs w:val="24"/>
        </w:rPr>
        <w:t>Religion, Race, and Reconstruction: The Public School in the Politics of the 1870s</w:t>
      </w:r>
      <w:r w:rsidRPr="00AE4FCC">
        <w:rPr>
          <w:color w:val="000000"/>
          <w:szCs w:val="24"/>
        </w:rPr>
        <w:t xml:space="preserve">, in </w:t>
      </w:r>
      <w:r w:rsidRPr="00AE4FCC">
        <w:rPr>
          <w:i/>
          <w:color w:val="000000"/>
          <w:szCs w:val="24"/>
        </w:rPr>
        <w:t>American Historical Review</w:t>
      </w:r>
      <w:r w:rsidRPr="00AE4FCC">
        <w:rPr>
          <w:color w:val="000000"/>
          <w:szCs w:val="24"/>
        </w:rPr>
        <w:t xml:space="preserve"> 104 (1999), 1677-78.</w:t>
      </w:r>
    </w:p>
    <w:p w14:paraId="79C95E3E"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3D316C62"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 xml:space="preserve">Samuel L. Webb, </w:t>
      </w:r>
      <w:r w:rsidRPr="00AE4FCC">
        <w:rPr>
          <w:i/>
          <w:color w:val="000000"/>
          <w:szCs w:val="24"/>
        </w:rPr>
        <w:t>Two-Party Politics in the One-Party South: Alabama’s Hill Country, 1874-1920</w:t>
      </w:r>
      <w:r w:rsidRPr="00AE4FCC">
        <w:rPr>
          <w:color w:val="000000"/>
          <w:szCs w:val="24"/>
        </w:rPr>
        <w:t xml:space="preserve">, in </w:t>
      </w:r>
      <w:r w:rsidRPr="00AE4FCC">
        <w:rPr>
          <w:i/>
          <w:color w:val="000000"/>
          <w:szCs w:val="24"/>
        </w:rPr>
        <w:t>Journal of Economic History</w:t>
      </w:r>
      <w:r w:rsidRPr="00AE4FCC">
        <w:rPr>
          <w:color w:val="000000"/>
          <w:szCs w:val="24"/>
        </w:rPr>
        <w:t>, 59 (1999), 234-35.</w:t>
      </w:r>
    </w:p>
    <w:p w14:paraId="2C17B45C"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246EEF36"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Stewart E. Tolnay and E.M. Beck,</w:t>
      </w:r>
      <w:r w:rsidR="008F6761" w:rsidRPr="00AE4FCC">
        <w:rPr>
          <w:color w:val="000000"/>
          <w:szCs w:val="24"/>
        </w:rPr>
        <w:t xml:space="preserve"> </w:t>
      </w:r>
      <w:r w:rsidRPr="00AE4FCC">
        <w:rPr>
          <w:i/>
          <w:color w:val="000000"/>
          <w:szCs w:val="24"/>
        </w:rPr>
        <w:t>A Festival of Violence: An Analysis of Southern Lynchings, 1882-1930</w:t>
      </w:r>
      <w:r w:rsidRPr="00AE4FCC">
        <w:rPr>
          <w:color w:val="000000"/>
          <w:szCs w:val="24"/>
        </w:rPr>
        <w:t xml:space="preserve">, in </w:t>
      </w:r>
      <w:r w:rsidRPr="00AE4FCC">
        <w:rPr>
          <w:i/>
          <w:color w:val="000000"/>
          <w:szCs w:val="24"/>
        </w:rPr>
        <w:t xml:space="preserve">Historical Methods </w:t>
      </w:r>
      <w:r w:rsidRPr="00AE4FCC">
        <w:rPr>
          <w:color w:val="000000"/>
          <w:szCs w:val="24"/>
        </w:rPr>
        <w:t xml:space="preserve">31 (1998), 171-75. </w:t>
      </w:r>
    </w:p>
    <w:p w14:paraId="4EDBB086"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5D0FF093"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Alex Lichtenstein,</w:t>
      </w:r>
      <w:r w:rsidR="008F6761" w:rsidRPr="00AE4FCC">
        <w:rPr>
          <w:color w:val="000000"/>
          <w:szCs w:val="24"/>
        </w:rPr>
        <w:t xml:space="preserve"> </w:t>
      </w:r>
      <w:r w:rsidRPr="00AE4FCC">
        <w:rPr>
          <w:i/>
          <w:color w:val="000000"/>
          <w:szCs w:val="24"/>
        </w:rPr>
        <w:t>Twice the Work of Free Labor: The Political Economy of Convict Labor in the New South</w:t>
      </w:r>
      <w:r w:rsidRPr="00AE4FCC">
        <w:rPr>
          <w:color w:val="000000"/>
          <w:szCs w:val="24"/>
        </w:rPr>
        <w:t xml:space="preserve"> in </w:t>
      </w:r>
      <w:r w:rsidRPr="00AE4FCC">
        <w:rPr>
          <w:i/>
          <w:color w:val="000000"/>
          <w:szCs w:val="24"/>
        </w:rPr>
        <w:t>Journal of Interdisciplinary History</w:t>
      </w:r>
      <w:r w:rsidRPr="00AE4FCC">
        <w:rPr>
          <w:color w:val="000000"/>
          <w:szCs w:val="24"/>
        </w:rPr>
        <w:t xml:space="preserve"> 28 (1998), 484-85. </w:t>
      </w:r>
    </w:p>
    <w:p w14:paraId="478D26D2"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0D1723F4"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lastRenderedPageBreak/>
        <w:t>Stephen Cresswell,</w:t>
      </w:r>
      <w:r w:rsidR="008F6761" w:rsidRPr="00AE4FCC">
        <w:rPr>
          <w:color w:val="000000"/>
          <w:szCs w:val="24"/>
        </w:rPr>
        <w:t xml:space="preserve"> </w:t>
      </w:r>
      <w:r w:rsidRPr="00AE4FCC">
        <w:rPr>
          <w:i/>
          <w:color w:val="000000"/>
          <w:szCs w:val="24"/>
        </w:rPr>
        <w:t>Multi-Party Politics in Mississippi, 1877-1902</w:t>
      </w:r>
      <w:r w:rsidRPr="00AE4FCC">
        <w:rPr>
          <w:color w:val="000000"/>
          <w:szCs w:val="24"/>
        </w:rPr>
        <w:t>, in</w:t>
      </w:r>
      <w:r w:rsidR="008F6761" w:rsidRPr="00AE4FCC">
        <w:rPr>
          <w:color w:val="000000"/>
          <w:szCs w:val="24"/>
        </w:rPr>
        <w:t xml:space="preserve"> </w:t>
      </w:r>
      <w:r w:rsidRPr="00AE4FCC">
        <w:rPr>
          <w:i/>
          <w:color w:val="000000"/>
          <w:szCs w:val="24"/>
        </w:rPr>
        <w:t>Journal of American History</w:t>
      </w:r>
      <w:r w:rsidRPr="00AE4FCC">
        <w:rPr>
          <w:color w:val="000000"/>
          <w:szCs w:val="24"/>
        </w:rPr>
        <w:t>, 83 (1996), 642-43.</w:t>
      </w:r>
    </w:p>
    <w:p w14:paraId="4BCAFD10"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455B3C35"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 xml:space="preserve">Nancy MacLean, </w:t>
      </w:r>
      <w:r w:rsidRPr="00AE4FCC">
        <w:rPr>
          <w:i/>
          <w:color w:val="000000"/>
          <w:szCs w:val="24"/>
        </w:rPr>
        <w:t>Behind the Mask of Chivalry: The Making of the Second Ku Klux Klan</w:t>
      </w:r>
      <w:r w:rsidRPr="00AE4FCC">
        <w:rPr>
          <w:color w:val="000000"/>
          <w:szCs w:val="24"/>
        </w:rPr>
        <w:t>, in</w:t>
      </w:r>
      <w:r w:rsidR="008F6761" w:rsidRPr="00AE4FCC">
        <w:rPr>
          <w:color w:val="000000"/>
          <w:szCs w:val="24"/>
        </w:rPr>
        <w:t xml:space="preserve"> </w:t>
      </w:r>
      <w:r w:rsidRPr="00AE4FCC">
        <w:rPr>
          <w:i/>
          <w:color w:val="000000"/>
          <w:szCs w:val="24"/>
        </w:rPr>
        <w:t>Journal of the History of the Behavioral Sciences</w:t>
      </w:r>
      <w:r w:rsidRPr="00AE4FCC">
        <w:rPr>
          <w:color w:val="000000"/>
          <w:szCs w:val="24"/>
        </w:rPr>
        <w:t xml:space="preserve">, 32 (1996), 229-32. </w:t>
      </w:r>
    </w:p>
    <w:p w14:paraId="58219E96"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1CCDB876"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Daniel I. Greenstein,</w:t>
      </w:r>
      <w:r w:rsidR="008F6761" w:rsidRPr="00AE4FCC">
        <w:rPr>
          <w:color w:val="000000"/>
          <w:szCs w:val="24"/>
        </w:rPr>
        <w:t xml:space="preserve"> </w:t>
      </w:r>
      <w:r w:rsidRPr="00AE4FCC">
        <w:rPr>
          <w:i/>
          <w:color w:val="000000"/>
          <w:szCs w:val="24"/>
        </w:rPr>
        <w:t>A Historian's Guide to Computing</w:t>
      </w:r>
      <w:r w:rsidRPr="00AE4FCC">
        <w:rPr>
          <w:color w:val="000000"/>
          <w:szCs w:val="24"/>
        </w:rPr>
        <w:t xml:space="preserve">, in </w:t>
      </w:r>
      <w:r w:rsidRPr="00AE4FCC">
        <w:rPr>
          <w:i/>
          <w:color w:val="000000"/>
          <w:szCs w:val="24"/>
        </w:rPr>
        <w:t>Journal of Interdisciplinary History</w:t>
      </w:r>
      <w:r w:rsidRPr="00AE4FCC">
        <w:rPr>
          <w:color w:val="000000"/>
          <w:szCs w:val="24"/>
        </w:rPr>
        <w:t>, 27 (1996), 103-05.</w:t>
      </w:r>
    </w:p>
    <w:p w14:paraId="1B2A43C9"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3F774359"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Howard N. Rabinowitz,</w:t>
      </w:r>
      <w:r w:rsidR="008F6761" w:rsidRPr="00AE4FCC">
        <w:rPr>
          <w:color w:val="000000"/>
          <w:szCs w:val="24"/>
        </w:rPr>
        <w:t xml:space="preserve"> </w:t>
      </w:r>
      <w:r w:rsidRPr="00AE4FCC">
        <w:rPr>
          <w:i/>
          <w:color w:val="000000"/>
          <w:szCs w:val="24"/>
        </w:rPr>
        <w:t>Race, Ethnicity and Urbanization</w:t>
      </w:r>
      <w:r w:rsidRPr="00AE4FCC">
        <w:rPr>
          <w:color w:val="000000"/>
          <w:szCs w:val="24"/>
        </w:rPr>
        <w:t>, in</w:t>
      </w:r>
      <w:r w:rsidR="008F6761" w:rsidRPr="00AE4FCC">
        <w:rPr>
          <w:color w:val="000000"/>
          <w:szCs w:val="24"/>
        </w:rPr>
        <w:t xml:space="preserve"> </w:t>
      </w:r>
      <w:r w:rsidRPr="00AE4FCC">
        <w:rPr>
          <w:i/>
          <w:color w:val="000000"/>
          <w:szCs w:val="24"/>
        </w:rPr>
        <w:t>Slavery and Abolition</w:t>
      </w:r>
      <w:r w:rsidRPr="00AE4FCC">
        <w:rPr>
          <w:color w:val="000000"/>
          <w:szCs w:val="24"/>
        </w:rPr>
        <w:t xml:space="preserve"> 16 (1995), 267-69.</w:t>
      </w:r>
    </w:p>
    <w:p w14:paraId="5D5F7231"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31AC98DE"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Michael C. Dawson,</w:t>
      </w:r>
      <w:r w:rsidR="008F6761" w:rsidRPr="00AE4FCC">
        <w:rPr>
          <w:color w:val="000000"/>
          <w:szCs w:val="24"/>
        </w:rPr>
        <w:t xml:space="preserve"> </w:t>
      </w:r>
      <w:r w:rsidRPr="00AE4FCC">
        <w:rPr>
          <w:i/>
          <w:color w:val="000000"/>
          <w:szCs w:val="24"/>
        </w:rPr>
        <w:t>Behind the Mule: Race and Class in African-American Politics</w:t>
      </w:r>
      <w:r w:rsidRPr="00AE4FCC">
        <w:rPr>
          <w:color w:val="000000"/>
          <w:szCs w:val="24"/>
        </w:rPr>
        <w:t>, in</w:t>
      </w:r>
      <w:r w:rsidRPr="00AE4FCC">
        <w:rPr>
          <w:i/>
          <w:color w:val="000000"/>
          <w:szCs w:val="24"/>
        </w:rPr>
        <w:t xml:space="preserve"> North Carolina Historical Review </w:t>
      </w:r>
      <w:r w:rsidRPr="00AE4FCC">
        <w:rPr>
          <w:color w:val="000000"/>
          <w:szCs w:val="24"/>
        </w:rPr>
        <w:t>72 (1995), 376-77.</w:t>
      </w:r>
    </w:p>
    <w:p w14:paraId="45715909"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287186B0"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James Goodman,</w:t>
      </w:r>
      <w:r w:rsidR="008F6761" w:rsidRPr="00AE4FCC">
        <w:rPr>
          <w:color w:val="000000"/>
          <w:szCs w:val="24"/>
        </w:rPr>
        <w:t xml:space="preserve"> </w:t>
      </w:r>
      <w:r w:rsidRPr="00AE4FCC">
        <w:rPr>
          <w:i/>
          <w:color w:val="000000"/>
          <w:szCs w:val="24"/>
        </w:rPr>
        <w:t>Stories of Scottsboro</w:t>
      </w:r>
      <w:r w:rsidRPr="00AE4FCC">
        <w:rPr>
          <w:color w:val="000000"/>
          <w:szCs w:val="24"/>
        </w:rPr>
        <w:t>, in</w:t>
      </w:r>
      <w:r w:rsidR="008F6761" w:rsidRPr="00AE4FCC">
        <w:rPr>
          <w:color w:val="000000"/>
          <w:szCs w:val="24"/>
        </w:rPr>
        <w:t xml:space="preserve"> </w:t>
      </w:r>
      <w:r w:rsidRPr="00AE4FCC">
        <w:rPr>
          <w:i/>
          <w:color w:val="000000"/>
          <w:szCs w:val="24"/>
        </w:rPr>
        <w:t>Princeton Alumni Weekly</w:t>
      </w:r>
      <w:r w:rsidRPr="00AE4FCC">
        <w:rPr>
          <w:color w:val="000000"/>
          <w:szCs w:val="24"/>
        </w:rPr>
        <w:t xml:space="preserve"> 95, #9 (Feb. 8, 1995), 20-21.</w:t>
      </w:r>
    </w:p>
    <w:p w14:paraId="2648CE4E"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521F3AEF"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Robert R. Dykstra,</w:t>
      </w:r>
      <w:r w:rsidR="008F6761" w:rsidRPr="00AE4FCC">
        <w:rPr>
          <w:color w:val="000000"/>
          <w:szCs w:val="24"/>
        </w:rPr>
        <w:t xml:space="preserve"> </w:t>
      </w:r>
      <w:r w:rsidRPr="00AE4FCC">
        <w:rPr>
          <w:i/>
          <w:color w:val="000000"/>
          <w:szCs w:val="24"/>
        </w:rPr>
        <w:t>Bright Radical Star: Black Freedom and White Supremacy on the Hawkeye Frontier</w:t>
      </w:r>
      <w:r w:rsidRPr="00AE4FCC">
        <w:rPr>
          <w:color w:val="000000"/>
          <w:szCs w:val="24"/>
        </w:rPr>
        <w:t xml:space="preserve">, in </w:t>
      </w:r>
      <w:r w:rsidRPr="00AE4FCC">
        <w:rPr>
          <w:i/>
          <w:color w:val="000000"/>
          <w:szCs w:val="24"/>
        </w:rPr>
        <w:t>Reviews in American History</w:t>
      </w:r>
      <w:r w:rsidRPr="00AE4FCC">
        <w:rPr>
          <w:color w:val="000000"/>
          <w:szCs w:val="24"/>
        </w:rPr>
        <w:t>, 22 (1994), 442-48.</w:t>
      </w:r>
    </w:p>
    <w:p w14:paraId="1324D04C"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0657B58D"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Robert C. McMath, Jr.,</w:t>
      </w:r>
      <w:r w:rsidR="008F6761" w:rsidRPr="00AE4FCC">
        <w:rPr>
          <w:color w:val="000000"/>
          <w:szCs w:val="24"/>
        </w:rPr>
        <w:t xml:space="preserve"> </w:t>
      </w:r>
      <w:r w:rsidRPr="00AE4FCC">
        <w:rPr>
          <w:i/>
          <w:color w:val="000000"/>
          <w:szCs w:val="24"/>
        </w:rPr>
        <w:t>American Populism: A Social History, 1877-1898</w:t>
      </w:r>
      <w:r w:rsidRPr="00AE4FCC">
        <w:rPr>
          <w:color w:val="000000"/>
          <w:szCs w:val="24"/>
        </w:rPr>
        <w:t xml:space="preserve">, in </w:t>
      </w:r>
      <w:r w:rsidRPr="00AE4FCC">
        <w:rPr>
          <w:i/>
          <w:color w:val="000000"/>
          <w:szCs w:val="24"/>
        </w:rPr>
        <w:t>Georgia Historical Quarterly</w:t>
      </w:r>
      <w:r w:rsidRPr="00AE4FCC">
        <w:rPr>
          <w:color w:val="000000"/>
          <w:szCs w:val="24"/>
        </w:rPr>
        <w:t xml:space="preserve"> 77 (1993), 634-</w:t>
      </w:r>
      <w:r w:rsidR="008F6761" w:rsidRPr="00AE4FCC">
        <w:rPr>
          <w:color w:val="000000"/>
          <w:szCs w:val="24"/>
        </w:rPr>
        <w:t>3</w:t>
      </w:r>
      <w:r w:rsidRPr="00AE4FCC">
        <w:rPr>
          <w:color w:val="000000"/>
          <w:szCs w:val="24"/>
        </w:rPr>
        <w:t>6.</w:t>
      </w:r>
    </w:p>
    <w:p w14:paraId="6DDC8FB4"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4181D00C"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Michael F. Holt,</w:t>
      </w:r>
      <w:r w:rsidR="008F6761" w:rsidRPr="00AE4FCC">
        <w:rPr>
          <w:color w:val="000000"/>
          <w:szCs w:val="24"/>
        </w:rPr>
        <w:t xml:space="preserve"> </w:t>
      </w:r>
      <w:r w:rsidRPr="00AE4FCC">
        <w:rPr>
          <w:i/>
          <w:color w:val="000000"/>
          <w:szCs w:val="24"/>
        </w:rPr>
        <w:t>Political Parties and American Political Development from the Age of Jackson to the Age of Lincoln</w:t>
      </w:r>
      <w:r w:rsidRPr="00AE4FCC">
        <w:rPr>
          <w:color w:val="000000"/>
          <w:szCs w:val="24"/>
        </w:rPr>
        <w:t xml:space="preserve">, in </w:t>
      </w:r>
      <w:r w:rsidRPr="00AE4FCC">
        <w:rPr>
          <w:i/>
          <w:color w:val="000000"/>
          <w:szCs w:val="24"/>
        </w:rPr>
        <w:t>Reviews in American History</w:t>
      </w:r>
      <w:r w:rsidRPr="00AE4FCC">
        <w:rPr>
          <w:color w:val="000000"/>
          <w:szCs w:val="24"/>
        </w:rPr>
        <w:t xml:space="preserve"> 21 (1993), 207-12.</w:t>
      </w:r>
    </w:p>
    <w:p w14:paraId="2C172651"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0F25AF9F"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William Cohen,</w:t>
      </w:r>
      <w:r w:rsidR="008F6761" w:rsidRPr="00AE4FCC">
        <w:rPr>
          <w:color w:val="000000"/>
          <w:szCs w:val="24"/>
        </w:rPr>
        <w:t xml:space="preserve"> </w:t>
      </w:r>
      <w:r w:rsidRPr="00AE4FCC">
        <w:rPr>
          <w:i/>
          <w:color w:val="000000"/>
          <w:szCs w:val="24"/>
        </w:rPr>
        <w:t>At Freedom's Edge:</w:t>
      </w:r>
      <w:r w:rsidR="008F6761" w:rsidRPr="00AE4FCC">
        <w:rPr>
          <w:i/>
          <w:color w:val="000000"/>
          <w:szCs w:val="24"/>
        </w:rPr>
        <w:t xml:space="preserve"> </w:t>
      </w:r>
      <w:r w:rsidRPr="00AE4FCC">
        <w:rPr>
          <w:i/>
          <w:color w:val="000000"/>
          <w:szCs w:val="24"/>
        </w:rPr>
        <w:t>Black Mobility and the Southern White Quest for Racial Control, 1861-1915</w:t>
      </w:r>
      <w:r w:rsidRPr="00AE4FCC">
        <w:rPr>
          <w:color w:val="000000"/>
          <w:szCs w:val="24"/>
        </w:rPr>
        <w:t xml:space="preserve">, in </w:t>
      </w:r>
      <w:r w:rsidRPr="00AE4FCC">
        <w:rPr>
          <w:i/>
          <w:color w:val="000000"/>
          <w:szCs w:val="24"/>
        </w:rPr>
        <w:t>Slavery &amp; Abolition</w:t>
      </w:r>
      <w:r w:rsidRPr="00AE4FCC">
        <w:rPr>
          <w:color w:val="000000"/>
          <w:szCs w:val="24"/>
        </w:rPr>
        <w:t xml:space="preserve"> 13 (1992), 239-41.</w:t>
      </w:r>
    </w:p>
    <w:p w14:paraId="33CF1119"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29CFB79D"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Loren Haskins and Kirk Jeffrey,</w:t>
      </w:r>
      <w:r w:rsidR="008F6761" w:rsidRPr="00AE4FCC">
        <w:rPr>
          <w:color w:val="000000"/>
          <w:szCs w:val="24"/>
        </w:rPr>
        <w:t xml:space="preserve"> </w:t>
      </w:r>
      <w:r w:rsidRPr="00AE4FCC">
        <w:rPr>
          <w:i/>
          <w:color w:val="000000"/>
          <w:szCs w:val="24"/>
        </w:rPr>
        <w:t>Understanding Quantitative History</w:t>
      </w:r>
      <w:r w:rsidRPr="00AE4FCC">
        <w:rPr>
          <w:color w:val="000000"/>
          <w:szCs w:val="24"/>
        </w:rPr>
        <w:t xml:space="preserve">, and Konrad H. </w:t>
      </w:r>
      <w:proofErr w:type="spellStart"/>
      <w:r w:rsidRPr="00AE4FCC">
        <w:rPr>
          <w:color w:val="000000"/>
          <w:szCs w:val="24"/>
        </w:rPr>
        <w:t>Jarausch</w:t>
      </w:r>
      <w:proofErr w:type="spellEnd"/>
      <w:r w:rsidRPr="00AE4FCC">
        <w:rPr>
          <w:color w:val="000000"/>
          <w:szCs w:val="24"/>
        </w:rPr>
        <w:t xml:space="preserve"> and Kenneth A. Hardy,</w:t>
      </w:r>
      <w:r w:rsidR="008F6761" w:rsidRPr="00AE4FCC">
        <w:rPr>
          <w:color w:val="000000"/>
          <w:szCs w:val="24"/>
        </w:rPr>
        <w:t xml:space="preserve"> </w:t>
      </w:r>
      <w:r w:rsidRPr="00AE4FCC">
        <w:rPr>
          <w:i/>
          <w:color w:val="000000"/>
          <w:szCs w:val="24"/>
        </w:rPr>
        <w:t>Quantitative Methods for Historians</w:t>
      </w:r>
      <w:r w:rsidRPr="00AE4FCC">
        <w:rPr>
          <w:color w:val="000000"/>
          <w:szCs w:val="24"/>
        </w:rPr>
        <w:t xml:space="preserve">, in </w:t>
      </w:r>
      <w:r w:rsidR="002478E5" w:rsidRPr="00AE4FCC">
        <w:rPr>
          <w:i/>
          <w:color w:val="000000"/>
          <w:szCs w:val="24"/>
        </w:rPr>
        <w:t xml:space="preserve">Journal of </w:t>
      </w:r>
      <w:r w:rsidRPr="00AE4FCC">
        <w:rPr>
          <w:i/>
          <w:color w:val="000000"/>
          <w:szCs w:val="24"/>
        </w:rPr>
        <w:t>Interdisciplinary History</w:t>
      </w:r>
      <w:r w:rsidRPr="00AE4FCC">
        <w:rPr>
          <w:color w:val="000000"/>
          <w:szCs w:val="24"/>
        </w:rPr>
        <w:t xml:space="preserve"> 23 (1992), 139-40.</w:t>
      </w:r>
    </w:p>
    <w:p w14:paraId="20C3B91C"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0FA12E0F"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Donald G. Nieman,</w:t>
      </w:r>
      <w:r w:rsidR="008F6761" w:rsidRPr="00AE4FCC">
        <w:rPr>
          <w:color w:val="000000"/>
          <w:szCs w:val="24"/>
        </w:rPr>
        <w:t xml:space="preserve"> </w:t>
      </w:r>
      <w:r w:rsidRPr="00AE4FCC">
        <w:rPr>
          <w:i/>
          <w:color w:val="000000"/>
          <w:szCs w:val="24"/>
        </w:rPr>
        <w:t>Promises to Keep: African-Americans and the Constitutional Order, 1776 to the Present</w:t>
      </w:r>
      <w:r w:rsidRPr="00AE4FCC">
        <w:rPr>
          <w:color w:val="000000"/>
          <w:szCs w:val="24"/>
        </w:rPr>
        <w:t xml:space="preserve">, in </w:t>
      </w:r>
      <w:r w:rsidRPr="00AE4FCC">
        <w:rPr>
          <w:i/>
          <w:color w:val="000000"/>
          <w:szCs w:val="24"/>
        </w:rPr>
        <w:t>Journal of Southern History</w:t>
      </w:r>
      <w:r w:rsidRPr="00AE4FCC">
        <w:rPr>
          <w:color w:val="000000"/>
          <w:szCs w:val="24"/>
        </w:rPr>
        <w:t xml:space="preserve"> 58 (1992), 704-05.</w:t>
      </w:r>
    </w:p>
    <w:p w14:paraId="3570A27B" w14:textId="77777777" w:rsidR="00D65162" w:rsidRPr="00AE4FCC" w:rsidRDefault="00D65162"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p>
    <w:p w14:paraId="3D1628E4"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William E. Nelson,</w:t>
      </w:r>
      <w:r w:rsidR="008F6761" w:rsidRPr="00AE4FCC">
        <w:rPr>
          <w:color w:val="000000"/>
          <w:szCs w:val="24"/>
        </w:rPr>
        <w:t xml:space="preserve"> </w:t>
      </w:r>
      <w:r w:rsidRPr="00AE4FCC">
        <w:rPr>
          <w:i/>
          <w:color w:val="000000"/>
          <w:szCs w:val="24"/>
        </w:rPr>
        <w:t>The Fourteenth Amendment: From Political Principle to Judicial Doctrine</w:t>
      </w:r>
      <w:r w:rsidRPr="00AE4FCC">
        <w:rPr>
          <w:color w:val="000000"/>
          <w:szCs w:val="24"/>
        </w:rPr>
        <w:t xml:space="preserve">, in </w:t>
      </w:r>
      <w:r w:rsidRPr="00AE4FCC">
        <w:rPr>
          <w:i/>
          <w:color w:val="000000"/>
          <w:szCs w:val="24"/>
        </w:rPr>
        <w:t>Slavery and Abolition</w:t>
      </w:r>
      <w:r w:rsidRPr="00AE4FCC">
        <w:rPr>
          <w:color w:val="000000"/>
          <w:szCs w:val="24"/>
        </w:rPr>
        <w:t xml:space="preserve"> 11 (1990), 414-16.</w:t>
      </w:r>
    </w:p>
    <w:p w14:paraId="162B955D"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210DBECB"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Kermit L. Hall and James W. Ely, Jr.,</w:t>
      </w:r>
      <w:r w:rsidR="008F6761" w:rsidRPr="00AE4FCC">
        <w:rPr>
          <w:color w:val="000000"/>
          <w:szCs w:val="24"/>
        </w:rPr>
        <w:t xml:space="preserve"> </w:t>
      </w:r>
      <w:r w:rsidRPr="00AE4FCC">
        <w:rPr>
          <w:i/>
          <w:color w:val="000000"/>
          <w:szCs w:val="24"/>
        </w:rPr>
        <w:t>An Uncertain Tradition: Constitutionalism and the History of the South</w:t>
      </w:r>
      <w:r w:rsidRPr="00AE4FCC">
        <w:rPr>
          <w:color w:val="000000"/>
          <w:szCs w:val="24"/>
        </w:rPr>
        <w:t xml:space="preserve">, in </w:t>
      </w:r>
      <w:r w:rsidRPr="00AE4FCC">
        <w:rPr>
          <w:i/>
          <w:color w:val="000000"/>
          <w:szCs w:val="24"/>
        </w:rPr>
        <w:t>Georgia Historical Quarterly</w:t>
      </w:r>
      <w:r w:rsidRPr="00AE4FCC">
        <w:rPr>
          <w:color w:val="000000"/>
          <w:szCs w:val="24"/>
        </w:rPr>
        <w:t>, 73 (1989), 843-44.</w:t>
      </w:r>
    </w:p>
    <w:p w14:paraId="275D3974"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3E71EA76"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lastRenderedPageBreak/>
        <w:t>James D. Anderson,</w:t>
      </w:r>
      <w:r w:rsidR="008F6761" w:rsidRPr="00AE4FCC">
        <w:rPr>
          <w:color w:val="000000"/>
          <w:szCs w:val="24"/>
        </w:rPr>
        <w:t xml:space="preserve"> </w:t>
      </w:r>
      <w:r w:rsidRPr="00AE4FCC">
        <w:rPr>
          <w:i/>
          <w:color w:val="000000"/>
          <w:szCs w:val="24"/>
        </w:rPr>
        <w:t>The Education of Blacks in the South, 1860 - 1935</w:t>
      </w:r>
      <w:r w:rsidRPr="00AE4FCC">
        <w:rPr>
          <w:color w:val="000000"/>
          <w:szCs w:val="24"/>
        </w:rPr>
        <w:t xml:space="preserve">, in </w:t>
      </w:r>
      <w:r w:rsidRPr="00AE4FCC">
        <w:rPr>
          <w:i/>
          <w:color w:val="000000"/>
          <w:szCs w:val="24"/>
        </w:rPr>
        <w:t>Slavery and Abolition</w:t>
      </w:r>
      <w:r w:rsidRPr="00AE4FCC">
        <w:rPr>
          <w:color w:val="000000"/>
          <w:szCs w:val="24"/>
        </w:rPr>
        <w:t xml:space="preserve"> 10 (1989), 144-</w:t>
      </w:r>
      <w:r w:rsidR="008F6761" w:rsidRPr="00AE4FCC">
        <w:rPr>
          <w:color w:val="000000"/>
          <w:szCs w:val="24"/>
        </w:rPr>
        <w:t>4</w:t>
      </w:r>
      <w:r w:rsidRPr="00AE4FCC">
        <w:rPr>
          <w:color w:val="000000"/>
          <w:szCs w:val="24"/>
        </w:rPr>
        <w:t>6.</w:t>
      </w:r>
    </w:p>
    <w:p w14:paraId="333C8A1C"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ab/>
      </w:r>
      <w:r w:rsidRPr="00AE4FCC">
        <w:rPr>
          <w:color w:val="000000"/>
          <w:szCs w:val="24"/>
        </w:rPr>
        <w:tab/>
      </w:r>
      <w:r w:rsidRPr="00AE4FCC">
        <w:rPr>
          <w:color w:val="000000"/>
          <w:szCs w:val="24"/>
        </w:rPr>
        <w:tab/>
      </w:r>
      <w:r w:rsidRPr="00AE4FCC">
        <w:rPr>
          <w:color w:val="000000"/>
          <w:szCs w:val="24"/>
        </w:rPr>
        <w:tab/>
      </w:r>
      <w:r w:rsidRPr="00AE4FCC">
        <w:rPr>
          <w:color w:val="000000"/>
          <w:szCs w:val="24"/>
        </w:rPr>
        <w:tab/>
      </w:r>
    </w:p>
    <w:p w14:paraId="348B1476"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Lacy K. Ford, Jr.,</w:t>
      </w:r>
      <w:r w:rsidR="008F6761" w:rsidRPr="00AE4FCC">
        <w:rPr>
          <w:color w:val="000000"/>
          <w:szCs w:val="24"/>
        </w:rPr>
        <w:t xml:space="preserve"> </w:t>
      </w:r>
      <w:r w:rsidRPr="00AE4FCC">
        <w:rPr>
          <w:i/>
          <w:color w:val="000000"/>
          <w:szCs w:val="24"/>
        </w:rPr>
        <w:t>Origins of Southern Radicalism: The South Carolina Upcountry, 1800 - 1860</w:t>
      </w:r>
      <w:r w:rsidRPr="00AE4FCC">
        <w:rPr>
          <w:color w:val="000000"/>
          <w:szCs w:val="24"/>
        </w:rPr>
        <w:t xml:space="preserve">, </w:t>
      </w:r>
      <w:r w:rsidRPr="00AE4FCC">
        <w:rPr>
          <w:color w:val="000000"/>
          <w:szCs w:val="24"/>
        </w:rPr>
        <w:tab/>
        <w:t xml:space="preserve">in </w:t>
      </w:r>
      <w:r w:rsidRPr="00AE4FCC">
        <w:rPr>
          <w:i/>
          <w:color w:val="000000"/>
          <w:szCs w:val="24"/>
        </w:rPr>
        <w:t>Journal of Economic History</w:t>
      </w:r>
      <w:r w:rsidRPr="00AE4FCC">
        <w:rPr>
          <w:color w:val="000000"/>
          <w:szCs w:val="24"/>
        </w:rPr>
        <w:t>, 49 (1989), 767-</w:t>
      </w:r>
      <w:r w:rsidR="008F6761" w:rsidRPr="00AE4FCC">
        <w:rPr>
          <w:color w:val="000000"/>
          <w:szCs w:val="24"/>
        </w:rPr>
        <w:t>6</w:t>
      </w:r>
      <w:r w:rsidRPr="00AE4FCC">
        <w:rPr>
          <w:color w:val="000000"/>
          <w:szCs w:val="24"/>
        </w:rPr>
        <w:t>9.</w:t>
      </w:r>
    </w:p>
    <w:p w14:paraId="569CC6DC"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5785D783"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Peter Wallenstein,</w:t>
      </w:r>
      <w:r w:rsidR="008F6761" w:rsidRPr="00AE4FCC">
        <w:rPr>
          <w:color w:val="000000"/>
          <w:szCs w:val="24"/>
        </w:rPr>
        <w:t xml:space="preserve"> </w:t>
      </w:r>
      <w:r w:rsidRPr="00AE4FCC">
        <w:rPr>
          <w:i/>
          <w:color w:val="000000"/>
          <w:szCs w:val="24"/>
        </w:rPr>
        <w:t>From Slave South to New South: Public Policy in 19th Century Georgia</w:t>
      </w:r>
      <w:r w:rsidRPr="00AE4FCC">
        <w:rPr>
          <w:color w:val="000000"/>
          <w:szCs w:val="24"/>
        </w:rPr>
        <w:t xml:space="preserve">, in </w:t>
      </w:r>
      <w:r w:rsidRPr="00AE4FCC">
        <w:rPr>
          <w:i/>
          <w:color w:val="000000"/>
          <w:szCs w:val="24"/>
        </w:rPr>
        <w:t>Maryland Historical Magazine</w:t>
      </w:r>
      <w:r w:rsidRPr="00AE4FCC">
        <w:rPr>
          <w:color w:val="000000"/>
          <w:szCs w:val="24"/>
        </w:rPr>
        <w:t>, 83 (1988), 184-85.</w:t>
      </w:r>
    </w:p>
    <w:p w14:paraId="44A9A484"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3B193352"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Charles A. Lofgren,</w:t>
      </w:r>
      <w:r w:rsidR="008F6761" w:rsidRPr="00AE4FCC">
        <w:rPr>
          <w:color w:val="000000"/>
          <w:szCs w:val="24"/>
        </w:rPr>
        <w:t xml:space="preserve"> </w:t>
      </w:r>
      <w:r w:rsidRPr="00AE4FCC">
        <w:rPr>
          <w:i/>
          <w:color w:val="000000"/>
          <w:szCs w:val="24"/>
        </w:rPr>
        <w:t>The Plessy Case:</w:t>
      </w:r>
      <w:r w:rsidR="008F6761" w:rsidRPr="00AE4FCC">
        <w:rPr>
          <w:i/>
          <w:color w:val="000000"/>
          <w:szCs w:val="24"/>
        </w:rPr>
        <w:t xml:space="preserve"> </w:t>
      </w:r>
      <w:r w:rsidRPr="00AE4FCC">
        <w:rPr>
          <w:i/>
          <w:color w:val="000000"/>
          <w:szCs w:val="24"/>
        </w:rPr>
        <w:t>A Legal-Historical Interpretation</w:t>
      </w:r>
      <w:r w:rsidRPr="00AE4FCC">
        <w:rPr>
          <w:color w:val="000000"/>
          <w:szCs w:val="24"/>
        </w:rPr>
        <w:t xml:space="preserve">, in </w:t>
      </w:r>
      <w:r w:rsidRPr="00AE4FCC">
        <w:rPr>
          <w:i/>
          <w:color w:val="000000"/>
          <w:szCs w:val="24"/>
        </w:rPr>
        <w:t>Georgia Historical Quarterly</w:t>
      </w:r>
      <w:r w:rsidRPr="00AE4FCC">
        <w:rPr>
          <w:color w:val="000000"/>
          <w:szCs w:val="24"/>
        </w:rPr>
        <w:t>, 71 (1987), 742-4.</w:t>
      </w:r>
    </w:p>
    <w:p w14:paraId="50D2A2AF"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3BB801DF"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Richard L. McCormick,</w:t>
      </w:r>
      <w:r w:rsidR="008F6761" w:rsidRPr="00AE4FCC">
        <w:rPr>
          <w:color w:val="000000"/>
          <w:szCs w:val="24"/>
        </w:rPr>
        <w:t xml:space="preserve"> </w:t>
      </w:r>
      <w:r w:rsidRPr="00AE4FCC">
        <w:rPr>
          <w:i/>
          <w:color w:val="000000"/>
          <w:szCs w:val="24"/>
        </w:rPr>
        <w:t>The Party Period and Public Policy</w:t>
      </w:r>
      <w:r w:rsidRPr="00AE4FCC">
        <w:rPr>
          <w:color w:val="000000"/>
          <w:szCs w:val="24"/>
        </w:rPr>
        <w:t xml:space="preserve">, in </w:t>
      </w:r>
      <w:r w:rsidRPr="00AE4FCC">
        <w:rPr>
          <w:i/>
          <w:color w:val="000000"/>
          <w:szCs w:val="24"/>
        </w:rPr>
        <w:t>Journal of American History</w:t>
      </w:r>
      <w:r w:rsidRPr="00AE4FCC">
        <w:rPr>
          <w:color w:val="000000"/>
          <w:szCs w:val="24"/>
        </w:rPr>
        <w:t>, 74 (1987), 169-70.</w:t>
      </w:r>
    </w:p>
    <w:p w14:paraId="1D2C89E0"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50B22340"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Gail Williams O'Brien,</w:t>
      </w:r>
      <w:r w:rsidR="008F6761" w:rsidRPr="00AE4FCC">
        <w:rPr>
          <w:color w:val="000000"/>
          <w:szCs w:val="24"/>
        </w:rPr>
        <w:t xml:space="preserve"> </w:t>
      </w:r>
      <w:r w:rsidRPr="00AE4FCC">
        <w:rPr>
          <w:i/>
          <w:color w:val="000000"/>
          <w:szCs w:val="24"/>
        </w:rPr>
        <w:t>The Legal Fraternity and The Making of a New South Community, 1843-1882</w:t>
      </w:r>
      <w:r w:rsidRPr="00AE4FCC">
        <w:rPr>
          <w:color w:val="000000"/>
          <w:szCs w:val="24"/>
        </w:rPr>
        <w:t xml:space="preserve">, in </w:t>
      </w:r>
      <w:r w:rsidRPr="00AE4FCC">
        <w:rPr>
          <w:i/>
          <w:color w:val="000000"/>
          <w:szCs w:val="24"/>
        </w:rPr>
        <w:t>North Carolina Historical Review</w:t>
      </w:r>
      <w:r w:rsidRPr="00AE4FCC">
        <w:rPr>
          <w:color w:val="000000"/>
          <w:szCs w:val="24"/>
        </w:rPr>
        <w:t>, 64 (1987), 219-20.</w:t>
      </w:r>
    </w:p>
    <w:p w14:paraId="5CFF3606"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45C873F9"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Theodore M. Porter,</w:t>
      </w:r>
      <w:r w:rsidR="008F6761" w:rsidRPr="00AE4FCC">
        <w:rPr>
          <w:color w:val="000000"/>
          <w:szCs w:val="24"/>
        </w:rPr>
        <w:t xml:space="preserve"> </w:t>
      </w:r>
      <w:r w:rsidRPr="00AE4FCC">
        <w:rPr>
          <w:i/>
          <w:color w:val="000000"/>
          <w:szCs w:val="24"/>
        </w:rPr>
        <w:t>The Rise of Statistical Thinking, 1820-1900</w:t>
      </w:r>
      <w:r w:rsidRPr="00AE4FCC">
        <w:rPr>
          <w:color w:val="000000"/>
          <w:szCs w:val="24"/>
        </w:rPr>
        <w:t>; Stephen M.</w:t>
      </w:r>
      <w:r w:rsidR="008F6761" w:rsidRPr="00AE4FCC">
        <w:rPr>
          <w:color w:val="000000"/>
          <w:szCs w:val="24"/>
        </w:rPr>
        <w:t xml:space="preserve"> </w:t>
      </w:r>
      <w:r w:rsidRPr="00AE4FCC">
        <w:rPr>
          <w:color w:val="000000"/>
          <w:szCs w:val="24"/>
        </w:rPr>
        <w:t>Stigler,</w:t>
      </w:r>
      <w:r w:rsidR="008F6761" w:rsidRPr="00AE4FCC">
        <w:rPr>
          <w:color w:val="000000"/>
          <w:szCs w:val="24"/>
        </w:rPr>
        <w:t xml:space="preserve"> </w:t>
      </w:r>
      <w:r w:rsidRPr="00AE4FCC">
        <w:rPr>
          <w:i/>
          <w:color w:val="000000"/>
          <w:szCs w:val="24"/>
        </w:rPr>
        <w:t>The History of Statistics:</w:t>
      </w:r>
      <w:r w:rsidR="008F6761" w:rsidRPr="00AE4FCC">
        <w:rPr>
          <w:i/>
          <w:color w:val="000000"/>
          <w:szCs w:val="24"/>
        </w:rPr>
        <w:t xml:space="preserve"> </w:t>
      </w:r>
      <w:r w:rsidRPr="00AE4FCC">
        <w:rPr>
          <w:i/>
          <w:color w:val="000000"/>
          <w:szCs w:val="24"/>
        </w:rPr>
        <w:t>The Measurement of Uncertainty Before 1900</w:t>
      </w:r>
      <w:r w:rsidRPr="00AE4FCC">
        <w:rPr>
          <w:color w:val="000000"/>
          <w:szCs w:val="24"/>
        </w:rPr>
        <w:t xml:space="preserve">, in </w:t>
      </w:r>
      <w:r w:rsidRPr="00AE4FCC">
        <w:rPr>
          <w:i/>
          <w:color w:val="000000"/>
          <w:szCs w:val="24"/>
        </w:rPr>
        <w:t>Wilson Quarterly</w:t>
      </w:r>
      <w:r w:rsidRPr="00AE4FCC">
        <w:rPr>
          <w:color w:val="000000"/>
          <w:szCs w:val="24"/>
        </w:rPr>
        <w:t>, XI (Spring 1987) 2, 161-62.</w:t>
      </w:r>
    </w:p>
    <w:p w14:paraId="3615F199"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02E241C5"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C. Vann Woodward,</w:t>
      </w:r>
      <w:r w:rsidR="008F6761" w:rsidRPr="00AE4FCC">
        <w:rPr>
          <w:color w:val="000000"/>
          <w:szCs w:val="24"/>
        </w:rPr>
        <w:t xml:space="preserve"> </w:t>
      </w:r>
      <w:r w:rsidRPr="00AE4FCC">
        <w:rPr>
          <w:i/>
          <w:color w:val="000000"/>
          <w:szCs w:val="24"/>
        </w:rPr>
        <w:t>Thinking Back:</w:t>
      </w:r>
      <w:r w:rsidR="008F6761" w:rsidRPr="00AE4FCC">
        <w:rPr>
          <w:i/>
          <w:color w:val="000000"/>
          <w:szCs w:val="24"/>
        </w:rPr>
        <w:t xml:space="preserve"> </w:t>
      </w:r>
      <w:r w:rsidRPr="00AE4FCC">
        <w:rPr>
          <w:i/>
          <w:color w:val="000000"/>
          <w:szCs w:val="24"/>
        </w:rPr>
        <w:t>The Perils of Writing History</w:t>
      </w:r>
      <w:r w:rsidRPr="00AE4FCC">
        <w:rPr>
          <w:color w:val="000000"/>
          <w:szCs w:val="24"/>
        </w:rPr>
        <w:t xml:space="preserve">, in </w:t>
      </w:r>
      <w:r w:rsidRPr="00AE4FCC">
        <w:rPr>
          <w:i/>
          <w:color w:val="000000"/>
          <w:szCs w:val="24"/>
        </w:rPr>
        <w:t>Journal of Economic History</w:t>
      </w:r>
      <w:r w:rsidRPr="00AE4FCC">
        <w:rPr>
          <w:color w:val="000000"/>
          <w:szCs w:val="24"/>
        </w:rPr>
        <w:t>, 48 (June 1987), 591-92.</w:t>
      </w:r>
    </w:p>
    <w:p w14:paraId="3D01C51C"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07F392E7"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Dan T. Carter,</w:t>
      </w:r>
      <w:r w:rsidR="008F6761" w:rsidRPr="00AE4FCC">
        <w:rPr>
          <w:color w:val="000000"/>
          <w:szCs w:val="24"/>
        </w:rPr>
        <w:t xml:space="preserve"> </w:t>
      </w:r>
      <w:r w:rsidRPr="00AE4FCC">
        <w:rPr>
          <w:i/>
          <w:color w:val="000000"/>
          <w:szCs w:val="24"/>
        </w:rPr>
        <w:t>When The War Was Over:</w:t>
      </w:r>
      <w:r w:rsidR="008F6761" w:rsidRPr="00AE4FCC">
        <w:rPr>
          <w:i/>
          <w:color w:val="000000"/>
          <w:szCs w:val="24"/>
        </w:rPr>
        <w:t xml:space="preserve"> </w:t>
      </w:r>
      <w:r w:rsidRPr="00AE4FCC">
        <w:rPr>
          <w:i/>
          <w:color w:val="000000"/>
          <w:szCs w:val="24"/>
        </w:rPr>
        <w:t>The Failure of Self-Reconstruction in the South, 1865-1867</w:t>
      </w:r>
      <w:r w:rsidRPr="00AE4FCC">
        <w:rPr>
          <w:color w:val="000000"/>
          <w:szCs w:val="24"/>
        </w:rPr>
        <w:t xml:space="preserve">; Ted Tunnell, </w:t>
      </w:r>
      <w:r w:rsidRPr="00AE4FCC">
        <w:rPr>
          <w:i/>
          <w:color w:val="000000"/>
          <w:szCs w:val="24"/>
        </w:rPr>
        <w:t>Crucible of Reconstruction: War, Radicalism, and Race in Louisiana, 1862-1877</w:t>
      </w:r>
      <w:r w:rsidRPr="00AE4FCC">
        <w:rPr>
          <w:color w:val="000000"/>
          <w:szCs w:val="24"/>
        </w:rPr>
        <w:t xml:space="preserve">, in </w:t>
      </w:r>
      <w:r w:rsidRPr="00AE4FCC">
        <w:rPr>
          <w:i/>
          <w:color w:val="000000"/>
          <w:szCs w:val="24"/>
        </w:rPr>
        <w:t>Slavery and Abolition</w:t>
      </w:r>
      <w:r w:rsidRPr="00AE4FCC">
        <w:rPr>
          <w:color w:val="000000"/>
          <w:szCs w:val="24"/>
        </w:rPr>
        <w:t>, 7 (1986), 290-98.</w:t>
      </w:r>
    </w:p>
    <w:p w14:paraId="2657563A"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7F93AC48"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Olivier Zunz, ed.,</w:t>
      </w:r>
      <w:r w:rsidR="008F6761" w:rsidRPr="00AE4FCC">
        <w:rPr>
          <w:color w:val="000000"/>
          <w:szCs w:val="24"/>
        </w:rPr>
        <w:t xml:space="preserve"> </w:t>
      </w:r>
      <w:r w:rsidRPr="00AE4FCC">
        <w:rPr>
          <w:i/>
          <w:color w:val="000000"/>
          <w:szCs w:val="24"/>
        </w:rPr>
        <w:t>Reliving the Past:</w:t>
      </w:r>
      <w:r w:rsidR="008F6761" w:rsidRPr="00AE4FCC">
        <w:rPr>
          <w:i/>
          <w:color w:val="000000"/>
          <w:szCs w:val="24"/>
        </w:rPr>
        <w:t xml:space="preserve"> </w:t>
      </w:r>
      <w:r w:rsidRPr="00AE4FCC">
        <w:rPr>
          <w:i/>
          <w:color w:val="000000"/>
          <w:szCs w:val="24"/>
        </w:rPr>
        <w:t>The Worlds of Social History</w:t>
      </w:r>
      <w:r w:rsidRPr="00AE4FCC">
        <w:rPr>
          <w:color w:val="000000"/>
          <w:szCs w:val="24"/>
        </w:rPr>
        <w:t xml:space="preserve">, in </w:t>
      </w:r>
      <w:r w:rsidRPr="00AE4FCC">
        <w:rPr>
          <w:i/>
          <w:color w:val="000000"/>
          <w:szCs w:val="24"/>
        </w:rPr>
        <w:t>Reviews in American History</w:t>
      </w:r>
      <w:r w:rsidRPr="00AE4FCC">
        <w:rPr>
          <w:color w:val="000000"/>
          <w:szCs w:val="24"/>
        </w:rPr>
        <w:t>, 14 (1986), 342-47.</w:t>
      </w:r>
    </w:p>
    <w:p w14:paraId="5F4555B8"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01F64E96"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Robert F. Durden,</w:t>
      </w:r>
      <w:r w:rsidR="008F6761" w:rsidRPr="00AE4FCC">
        <w:rPr>
          <w:color w:val="000000"/>
          <w:szCs w:val="24"/>
        </w:rPr>
        <w:t xml:space="preserve"> </w:t>
      </w:r>
      <w:r w:rsidRPr="00AE4FCC">
        <w:rPr>
          <w:i/>
          <w:color w:val="000000"/>
          <w:szCs w:val="24"/>
        </w:rPr>
        <w:t>The Self-Inflicted Wound:</w:t>
      </w:r>
      <w:r w:rsidR="008F6761" w:rsidRPr="00AE4FCC">
        <w:rPr>
          <w:i/>
          <w:color w:val="000000"/>
          <w:szCs w:val="24"/>
        </w:rPr>
        <w:t xml:space="preserve"> </w:t>
      </w:r>
      <w:r w:rsidRPr="00AE4FCC">
        <w:rPr>
          <w:i/>
          <w:color w:val="000000"/>
          <w:szCs w:val="24"/>
        </w:rPr>
        <w:t>Southern Politics in the 19th Century</w:t>
      </w:r>
      <w:r w:rsidRPr="00AE4FCC">
        <w:rPr>
          <w:color w:val="000000"/>
          <w:szCs w:val="24"/>
        </w:rPr>
        <w:t>, in</w:t>
      </w:r>
      <w:r w:rsidRPr="00AE4FCC">
        <w:rPr>
          <w:i/>
          <w:color w:val="000000"/>
          <w:szCs w:val="24"/>
        </w:rPr>
        <w:t xml:space="preserve"> Journal of American History</w:t>
      </w:r>
      <w:r w:rsidRPr="00AE4FCC">
        <w:rPr>
          <w:color w:val="000000"/>
          <w:szCs w:val="24"/>
        </w:rPr>
        <w:t>, 73 (1986), 189-90.</w:t>
      </w:r>
    </w:p>
    <w:p w14:paraId="613182B1"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436FB4F7"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Alexander M. Bickel and Benno C. Schmidt, Jr.,</w:t>
      </w:r>
      <w:r w:rsidR="008F6761" w:rsidRPr="00AE4FCC">
        <w:rPr>
          <w:color w:val="000000"/>
          <w:szCs w:val="24"/>
        </w:rPr>
        <w:t xml:space="preserve"> </w:t>
      </w:r>
      <w:r w:rsidRPr="00AE4FCC">
        <w:rPr>
          <w:i/>
          <w:color w:val="000000"/>
          <w:szCs w:val="24"/>
        </w:rPr>
        <w:t>History of the Supreme Court</w:t>
      </w:r>
      <w:r w:rsidRPr="00AE4FCC">
        <w:rPr>
          <w:color w:val="000000"/>
          <w:szCs w:val="24"/>
        </w:rPr>
        <w:t xml:space="preserve">, Vol. X, in </w:t>
      </w:r>
      <w:r w:rsidRPr="00AE4FCC">
        <w:rPr>
          <w:i/>
          <w:color w:val="000000"/>
          <w:szCs w:val="24"/>
        </w:rPr>
        <w:t>Journal of Southern History</w:t>
      </w:r>
      <w:r w:rsidRPr="00AE4FCC">
        <w:rPr>
          <w:color w:val="000000"/>
          <w:szCs w:val="24"/>
        </w:rPr>
        <w:t>, 52 (1986), 479-81.</w:t>
      </w:r>
    </w:p>
    <w:p w14:paraId="2F7E5175"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1C07B44C"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Eric Foner,</w:t>
      </w:r>
      <w:r w:rsidR="008F6761" w:rsidRPr="00AE4FCC">
        <w:rPr>
          <w:color w:val="000000"/>
          <w:szCs w:val="24"/>
        </w:rPr>
        <w:t xml:space="preserve"> </w:t>
      </w:r>
      <w:r w:rsidRPr="00AE4FCC">
        <w:rPr>
          <w:i/>
          <w:color w:val="000000"/>
          <w:szCs w:val="24"/>
        </w:rPr>
        <w:t>Nothing But Freedom</w:t>
      </w:r>
      <w:r w:rsidRPr="00AE4FCC">
        <w:rPr>
          <w:color w:val="000000"/>
          <w:szCs w:val="24"/>
        </w:rPr>
        <w:t xml:space="preserve">, in </w:t>
      </w:r>
      <w:r w:rsidRPr="00AE4FCC">
        <w:rPr>
          <w:i/>
          <w:color w:val="000000"/>
          <w:szCs w:val="24"/>
        </w:rPr>
        <w:t>Slavery and Abolition</w:t>
      </w:r>
      <w:r w:rsidRPr="00AE4FCC">
        <w:rPr>
          <w:color w:val="000000"/>
          <w:szCs w:val="24"/>
        </w:rPr>
        <w:t>, 7 (1986), 77-79.</w:t>
      </w:r>
    </w:p>
    <w:p w14:paraId="6E9C8353"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0566FE71"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Alexander P. Lamis,</w:t>
      </w:r>
      <w:r w:rsidR="008F6761" w:rsidRPr="00AE4FCC">
        <w:rPr>
          <w:color w:val="000000"/>
          <w:szCs w:val="24"/>
        </w:rPr>
        <w:t xml:space="preserve"> </w:t>
      </w:r>
      <w:r w:rsidRPr="00AE4FCC">
        <w:rPr>
          <w:i/>
          <w:color w:val="000000"/>
          <w:szCs w:val="24"/>
        </w:rPr>
        <w:t>A Two-Party South</w:t>
      </w:r>
      <w:r w:rsidRPr="00AE4FCC">
        <w:rPr>
          <w:color w:val="000000"/>
          <w:szCs w:val="24"/>
        </w:rPr>
        <w:t xml:space="preserve">, in </w:t>
      </w:r>
      <w:r w:rsidRPr="00AE4FCC">
        <w:rPr>
          <w:i/>
          <w:color w:val="000000"/>
          <w:szCs w:val="24"/>
        </w:rPr>
        <w:t>Times Literary Supplement</w:t>
      </w:r>
      <w:r w:rsidRPr="00AE4FCC">
        <w:rPr>
          <w:color w:val="000000"/>
          <w:szCs w:val="24"/>
        </w:rPr>
        <w:t xml:space="preserve"> (October 10, 1985).</w:t>
      </w:r>
    </w:p>
    <w:p w14:paraId="5B3BEF1E"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25514956"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lastRenderedPageBreak/>
        <w:t>Steven F. Lawson,</w:t>
      </w:r>
      <w:r w:rsidR="008F6761" w:rsidRPr="00AE4FCC">
        <w:rPr>
          <w:color w:val="000000"/>
          <w:szCs w:val="24"/>
        </w:rPr>
        <w:t xml:space="preserve"> </w:t>
      </w:r>
      <w:r w:rsidRPr="00AE4FCC">
        <w:rPr>
          <w:i/>
          <w:color w:val="000000"/>
          <w:szCs w:val="24"/>
        </w:rPr>
        <w:t>In Pursuit of Power</w:t>
      </w:r>
      <w:r w:rsidRPr="00AE4FCC">
        <w:rPr>
          <w:color w:val="000000"/>
          <w:szCs w:val="24"/>
        </w:rPr>
        <w:t xml:space="preserve">, in </w:t>
      </w:r>
      <w:r w:rsidRPr="00AE4FCC">
        <w:rPr>
          <w:i/>
          <w:color w:val="000000"/>
          <w:szCs w:val="24"/>
        </w:rPr>
        <w:t>Georgia Historical Quarterly</w:t>
      </w:r>
      <w:r w:rsidRPr="00AE4FCC">
        <w:rPr>
          <w:color w:val="000000"/>
          <w:szCs w:val="24"/>
        </w:rPr>
        <w:t>, 69 (1985), 441-43.</w:t>
      </w:r>
    </w:p>
    <w:p w14:paraId="3A773040"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0982D015"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David B. Davis,</w:t>
      </w:r>
      <w:r w:rsidR="008F6761" w:rsidRPr="00AE4FCC">
        <w:rPr>
          <w:color w:val="000000"/>
          <w:szCs w:val="24"/>
        </w:rPr>
        <w:t xml:space="preserve"> </w:t>
      </w:r>
      <w:r w:rsidRPr="00AE4FCC">
        <w:rPr>
          <w:i/>
          <w:color w:val="000000"/>
          <w:szCs w:val="24"/>
        </w:rPr>
        <w:t>Progress and Human Slavery</w:t>
      </w:r>
      <w:r w:rsidRPr="00AE4FCC">
        <w:rPr>
          <w:color w:val="000000"/>
          <w:szCs w:val="24"/>
        </w:rPr>
        <w:t xml:space="preserve">, in </w:t>
      </w:r>
      <w:r w:rsidRPr="00AE4FCC">
        <w:rPr>
          <w:i/>
          <w:color w:val="000000"/>
          <w:szCs w:val="24"/>
        </w:rPr>
        <w:t>Times Literary Supplement</w:t>
      </w:r>
      <w:r w:rsidRPr="00AE4FCC">
        <w:rPr>
          <w:color w:val="000000"/>
          <w:szCs w:val="24"/>
        </w:rPr>
        <w:t xml:space="preserve"> (February </w:t>
      </w:r>
      <w:r w:rsidR="008F6761" w:rsidRPr="00AE4FCC">
        <w:rPr>
          <w:color w:val="000000"/>
          <w:szCs w:val="24"/>
        </w:rPr>
        <w:t xml:space="preserve">1, </w:t>
      </w:r>
      <w:r w:rsidRPr="00AE4FCC">
        <w:rPr>
          <w:color w:val="000000"/>
          <w:szCs w:val="24"/>
        </w:rPr>
        <w:t>1985), 123-24.</w:t>
      </w:r>
    </w:p>
    <w:p w14:paraId="7A757E62"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087E5DC1"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Michael Perman,</w:t>
      </w:r>
      <w:r w:rsidR="008F6761" w:rsidRPr="00AE4FCC">
        <w:rPr>
          <w:color w:val="000000"/>
          <w:szCs w:val="24"/>
        </w:rPr>
        <w:t xml:space="preserve"> </w:t>
      </w:r>
      <w:r w:rsidRPr="00AE4FCC">
        <w:rPr>
          <w:i/>
          <w:color w:val="000000"/>
          <w:szCs w:val="24"/>
        </w:rPr>
        <w:t>The Road to Redemption:</w:t>
      </w:r>
      <w:r w:rsidR="008F6761" w:rsidRPr="00AE4FCC">
        <w:rPr>
          <w:i/>
          <w:color w:val="000000"/>
          <w:szCs w:val="24"/>
        </w:rPr>
        <w:t xml:space="preserve"> </w:t>
      </w:r>
      <w:r w:rsidRPr="00AE4FCC">
        <w:rPr>
          <w:i/>
          <w:color w:val="000000"/>
          <w:szCs w:val="24"/>
        </w:rPr>
        <w:t>Southern Politics, 1869-1879</w:t>
      </w:r>
      <w:r w:rsidRPr="00AE4FCC">
        <w:rPr>
          <w:color w:val="000000"/>
          <w:szCs w:val="24"/>
        </w:rPr>
        <w:t xml:space="preserve">, in </w:t>
      </w:r>
      <w:r w:rsidRPr="00AE4FCC">
        <w:rPr>
          <w:i/>
          <w:color w:val="000000"/>
          <w:szCs w:val="24"/>
        </w:rPr>
        <w:t>Political Science Quarterly</w:t>
      </w:r>
      <w:r w:rsidRPr="00AE4FCC">
        <w:rPr>
          <w:color w:val="000000"/>
          <w:szCs w:val="24"/>
        </w:rPr>
        <w:t>, 100 (1985), 350-51.</w:t>
      </w:r>
    </w:p>
    <w:p w14:paraId="72DF7B2B"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02851A75"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Catherine A. Barnes,</w:t>
      </w:r>
      <w:r w:rsidR="008F6761" w:rsidRPr="00AE4FCC">
        <w:rPr>
          <w:color w:val="000000"/>
          <w:szCs w:val="24"/>
        </w:rPr>
        <w:t xml:space="preserve"> </w:t>
      </w:r>
      <w:r w:rsidRPr="00AE4FCC">
        <w:rPr>
          <w:i/>
          <w:color w:val="000000"/>
          <w:szCs w:val="24"/>
        </w:rPr>
        <w:t>Journey From Jim Crow:</w:t>
      </w:r>
      <w:r w:rsidR="008F6761" w:rsidRPr="00AE4FCC">
        <w:rPr>
          <w:i/>
          <w:color w:val="000000"/>
          <w:szCs w:val="24"/>
        </w:rPr>
        <w:t xml:space="preserve"> </w:t>
      </w:r>
      <w:r w:rsidRPr="00AE4FCC">
        <w:rPr>
          <w:i/>
          <w:color w:val="000000"/>
          <w:szCs w:val="24"/>
        </w:rPr>
        <w:t>The Desegregation of Southern Transit</w:t>
      </w:r>
      <w:r w:rsidR="008F6761" w:rsidRPr="00AE4FCC">
        <w:rPr>
          <w:iCs/>
          <w:color w:val="000000"/>
          <w:szCs w:val="24"/>
        </w:rPr>
        <w:t>,</w:t>
      </w:r>
      <w:r w:rsidRPr="00AE4FCC">
        <w:rPr>
          <w:i/>
          <w:color w:val="000000"/>
          <w:szCs w:val="24"/>
        </w:rPr>
        <w:t xml:space="preserve"> </w:t>
      </w:r>
      <w:r w:rsidRPr="00AE4FCC">
        <w:rPr>
          <w:iCs/>
          <w:color w:val="000000"/>
          <w:szCs w:val="24"/>
        </w:rPr>
        <w:t>in</w:t>
      </w:r>
      <w:r w:rsidRPr="00AE4FCC">
        <w:rPr>
          <w:i/>
          <w:color w:val="000000"/>
          <w:szCs w:val="24"/>
        </w:rPr>
        <w:t xml:space="preserve"> Constitutional Commentary</w:t>
      </w:r>
      <w:r w:rsidRPr="00AE4FCC">
        <w:rPr>
          <w:color w:val="000000"/>
          <w:szCs w:val="24"/>
        </w:rPr>
        <w:t>, 2 (1984), 197-202.</w:t>
      </w:r>
    </w:p>
    <w:p w14:paraId="4754BB77"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18A8B095"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Raymond Arsenault,</w:t>
      </w:r>
      <w:r w:rsidR="008F6761" w:rsidRPr="00AE4FCC">
        <w:rPr>
          <w:color w:val="000000"/>
          <w:szCs w:val="24"/>
        </w:rPr>
        <w:t xml:space="preserve"> </w:t>
      </w:r>
      <w:r w:rsidRPr="00AE4FCC">
        <w:rPr>
          <w:i/>
          <w:color w:val="000000"/>
          <w:szCs w:val="24"/>
        </w:rPr>
        <w:t>The Wild Ass of the Ozarks:</w:t>
      </w:r>
      <w:r w:rsidR="008F6761" w:rsidRPr="00AE4FCC">
        <w:rPr>
          <w:i/>
          <w:color w:val="000000"/>
          <w:szCs w:val="24"/>
        </w:rPr>
        <w:t xml:space="preserve"> </w:t>
      </w:r>
      <w:r w:rsidRPr="00AE4FCC">
        <w:rPr>
          <w:i/>
          <w:color w:val="000000"/>
          <w:szCs w:val="24"/>
        </w:rPr>
        <w:t>Jeff Davis and the Social Bases of Southern Politics</w:t>
      </w:r>
      <w:r w:rsidRPr="00AE4FCC">
        <w:rPr>
          <w:color w:val="000000"/>
          <w:szCs w:val="24"/>
        </w:rPr>
        <w:t xml:space="preserve">, in </w:t>
      </w:r>
      <w:r w:rsidRPr="00AE4FCC">
        <w:rPr>
          <w:i/>
          <w:color w:val="000000"/>
          <w:szCs w:val="24"/>
        </w:rPr>
        <w:t>American Historical Review</w:t>
      </w:r>
      <w:r w:rsidRPr="00AE4FCC">
        <w:rPr>
          <w:color w:val="000000"/>
          <w:szCs w:val="24"/>
        </w:rPr>
        <w:t>, 90 (1985), 228-29.</w:t>
      </w:r>
    </w:p>
    <w:p w14:paraId="1A8B0146"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61BC964C"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Walter J. Fraser, Jr. and Winfred B. Moore, Jr.,</w:t>
      </w:r>
      <w:r w:rsidR="008F6761" w:rsidRPr="00AE4FCC">
        <w:rPr>
          <w:color w:val="000000"/>
          <w:szCs w:val="24"/>
        </w:rPr>
        <w:t xml:space="preserve"> </w:t>
      </w:r>
      <w:r w:rsidRPr="00AE4FCC">
        <w:rPr>
          <w:i/>
          <w:color w:val="000000"/>
          <w:szCs w:val="24"/>
        </w:rPr>
        <w:t>The Southern Enigma:</w:t>
      </w:r>
      <w:r w:rsidR="008F6761" w:rsidRPr="00AE4FCC">
        <w:rPr>
          <w:i/>
          <w:color w:val="000000"/>
          <w:szCs w:val="24"/>
        </w:rPr>
        <w:t xml:space="preserve"> </w:t>
      </w:r>
      <w:r w:rsidRPr="00AE4FCC">
        <w:rPr>
          <w:i/>
          <w:color w:val="000000"/>
          <w:szCs w:val="24"/>
        </w:rPr>
        <w:t>Essays on Race, Class, and Folk Culture</w:t>
      </w:r>
      <w:r w:rsidRPr="00AE4FCC">
        <w:rPr>
          <w:color w:val="000000"/>
          <w:szCs w:val="24"/>
        </w:rPr>
        <w:t xml:space="preserve">, in </w:t>
      </w:r>
      <w:r w:rsidRPr="00AE4FCC">
        <w:rPr>
          <w:i/>
          <w:color w:val="000000"/>
          <w:szCs w:val="24"/>
        </w:rPr>
        <w:t>Virginia Magazine of History and Biography</w:t>
      </w:r>
      <w:r w:rsidRPr="00AE4FCC">
        <w:rPr>
          <w:color w:val="000000"/>
          <w:szCs w:val="24"/>
        </w:rPr>
        <w:t>, 92 (1984), 475-76.</w:t>
      </w:r>
    </w:p>
    <w:p w14:paraId="1ADEC079"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6E8A93C8"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Stephen Hahn,</w:t>
      </w:r>
      <w:r w:rsidR="008F6761" w:rsidRPr="00AE4FCC">
        <w:rPr>
          <w:color w:val="000000"/>
          <w:szCs w:val="24"/>
        </w:rPr>
        <w:t xml:space="preserve"> </w:t>
      </w:r>
      <w:r w:rsidRPr="00AE4FCC">
        <w:rPr>
          <w:i/>
          <w:color w:val="000000"/>
          <w:szCs w:val="24"/>
        </w:rPr>
        <w:t>The Roots of Southern Populism</w:t>
      </w:r>
      <w:r w:rsidRPr="00AE4FCC">
        <w:rPr>
          <w:color w:val="000000"/>
          <w:szCs w:val="24"/>
        </w:rPr>
        <w:t xml:space="preserve">, in </w:t>
      </w:r>
      <w:r w:rsidRPr="00AE4FCC">
        <w:rPr>
          <w:i/>
          <w:color w:val="000000"/>
          <w:szCs w:val="24"/>
        </w:rPr>
        <w:t>American Historical Review</w:t>
      </w:r>
      <w:r w:rsidRPr="00AE4FCC">
        <w:rPr>
          <w:color w:val="000000"/>
          <w:szCs w:val="24"/>
        </w:rPr>
        <w:t>, 89 (1984), 854-55.</w:t>
      </w:r>
    </w:p>
    <w:p w14:paraId="555457D7"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1FBABA6F"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 xml:space="preserve">Paul </w:t>
      </w:r>
      <w:proofErr w:type="spellStart"/>
      <w:r w:rsidRPr="00AE4FCC">
        <w:rPr>
          <w:color w:val="000000"/>
          <w:szCs w:val="24"/>
        </w:rPr>
        <w:t>Kleppner</w:t>
      </w:r>
      <w:proofErr w:type="spellEnd"/>
      <w:r w:rsidRPr="00AE4FCC">
        <w:rPr>
          <w:color w:val="000000"/>
          <w:szCs w:val="24"/>
        </w:rPr>
        <w:t>,</w:t>
      </w:r>
      <w:r w:rsidR="008F6761" w:rsidRPr="00AE4FCC">
        <w:rPr>
          <w:color w:val="000000"/>
          <w:szCs w:val="24"/>
        </w:rPr>
        <w:t xml:space="preserve"> </w:t>
      </w:r>
      <w:r w:rsidRPr="00AE4FCC">
        <w:rPr>
          <w:i/>
          <w:color w:val="000000"/>
          <w:szCs w:val="24"/>
        </w:rPr>
        <w:t xml:space="preserve">Who Voted? </w:t>
      </w:r>
      <w:r w:rsidRPr="00AE4FCC">
        <w:rPr>
          <w:color w:val="000000"/>
          <w:szCs w:val="24"/>
        </w:rPr>
        <w:t>and W. Dean Burnham,</w:t>
      </w:r>
      <w:r w:rsidR="008F6761" w:rsidRPr="00AE4FCC">
        <w:rPr>
          <w:color w:val="000000"/>
          <w:szCs w:val="24"/>
        </w:rPr>
        <w:t xml:space="preserve"> </w:t>
      </w:r>
      <w:r w:rsidRPr="00AE4FCC">
        <w:rPr>
          <w:i/>
          <w:color w:val="000000"/>
          <w:szCs w:val="24"/>
        </w:rPr>
        <w:t>The Current Crisis in American Politics</w:t>
      </w:r>
      <w:r w:rsidRPr="00AE4FCC">
        <w:rPr>
          <w:color w:val="000000"/>
          <w:szCs w:val="24"/>
        </w:rPr>
        <w:t xml:space="preserve">, in </w:t>
      </w:r>
      <w:r w:rsidRPr="00AE4FCC">
        <w:rPr>
          <w:i/>
          <w:color w:val="000000"/>
          <w:szCs w:val="24"/>
        </w:rPr>
        <w:tab/>
        <w:t>Social Science History</w:t>
      </w:r>
      <w:r w:rsidRPr="00AE4FCC">
        <w:rPr>
          <w:color w:val="000000"/>
          <w:szCs w:val="24"/>
        </w:rPr>
        <w:t>, 9 (1985), 215-28.</w:t>
      </w:r>
    </w:p>
    <w:p w14:paraId="598EFA4E"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5D257533"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Patricia C. Cohen,</w:t>
      </w:r>
      <w:r w:rsidR="008F6761" w:rsidRPr="00AE4FCC">
        <w:rPr>
          <w:color w:val="000000"/>
          <w:szCs w:val="24"/>
        </w:rPr>
        <w:t xml:space="preserve"> </w:t>
      </w:r>
      <w:r w:rsidRPr="00AE4FCC">
        <w:rPr>
          <w:i/>
          <w:color w:val="000000"/>
          <w:szCs w:val="24"/>
        </w:rPr>
        <w:t>A Calculating People:</w:t>
      </w:r>
      <w:r w:rsidR="008F6761" w:rsidRPr="00AE4FCC">
        <w:rPr>
          <w:i/>
          <w:color w:val="000000"/>
          <w:szCs w:val="24"/>
        </w:rPr>
        <w:t xml:space="preserve"> </w:t>
      </w:r>
      <w:r w:rsidRPr="00AE4FCC">
        <w:rPr>
          <w:i/>
          <w:color w:val="000000"/>
          <w:szCs w:val="24"/>
        </w:rPr>
        <w:t>The Spread of Numeracy in Early America</w:t>
      </w:r>
      <w:r w:rsidRPr="00AE4FCC">
        <w:rPr>
          <w:color w:val="000000"/>
          <w:szCs w:val="24"/>
        </w:rPr>
        <w:t xml:space="preserve">, in </w:t>
      </w:r>
      <w:r w:rsidRPr="00AE4FCC">
        <w:rPr>
          <w:i/>
          <w:color w:val="000000"/>
          <w:szCs w:val="24"/>
        </w:rPr>
        <w:t>American Historical Review</w:t>
      </w:r>
      <w:r w:rsidRPr="00AE4FCC">
        <w:rPr>
          <w:color w:val="000000"/>
          <w:szCs w:val="24"/>
        </w:rPr>
        <w:t>, 89 (1984), 203-04.</w:t>
      </w:r>
    </w:p>
    <w:p w14:paraId="010E10D4"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13A84CB1"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John W. Cell,</w:t>
      </w:r>
      <w:r w:rsidR="008F6761" w:rsidRPr="00AE4FCC">
        <w:rPr>
          <w:color w:val="000000"/>
          <w:szCs w:val="24"/>
        </w:rPr>
        <w:t xml:space="preserve"> </w:t>
      </w:r>
      <w:r w:rsidRPr="00AE4FCC">
        <w:rPr>
          <w:i/>
          <w:color w:val="000000"/>
          <w:szCs w:val="24"/>
        </w:rPr>
        <w:t>The Highest Stage of White Supremacy</w:t>
      </w:r>
      <w:r w:rsidRPr="00AE4FCC">
        <w:rPr>
          <w:color w:val="000000"/>
          <w:szCs w:val="24"/>
        </w:rPr>
        <w:t xml:space="preserve">, in </w:t>
      </w:r>
      <w:r w:rsidRPr="00AE4FCC">
        <w:rPr>
          <w:i/>
          <w:color w:val="000000"/>
          <w:szCs w:val="24"/>
        </w:rPr>
        <w:t>Journal of American History</w:t>
      </w:r>
      <w:r w:rsidRPr="00AE4FCC">
        <w:rPr>
          <w:color w:val="000000"/>
          <w:szCs w:val="24"/>
        </w:rPr>
        <w:t>, 70 (September 1983), 424-25.</w:t>
      </w:r>
    </w:p>
    <w:p w14:paraId="3A92D434"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2DE3B32F"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 xml:space="preserve">David L. </w:t>
      </w:r>
      <w:proofErr w:type="spellStart"/>
      <w:r w:rsidRPr="00AE4FCC">
        <w:rPr>
          <w:color w:val="000000"/>
          <w:szCs w:val="24"/>
        </w:rPr>
        <w:t>Kirp</w:t>
      </w:r>
      <w:proofErr w:type="spellEnd"/>
      <w:r w:rsidRPr="00AE4FCC">
        <w:rPr>
          <w:color w:val="000000"/>
          <w:szCs w:val="24"/>
        </w:rPr>
        <w:t>,</w:t>
      </w:r>
      <w:r w:rsidR="008F6761" w:rsidRPr="00AE4FCC">
        <w:rPr>
          <w:color w:val="000000"/>
          <w:szCs w:val="24"/>
        </w:rPr>
        <w:t xml:space="preserve"> </w:t>
      </w:r>
      <w:r w:rsidRPr="00AE4FCC">
        <w:rPr>
          <w:i/>
          <w:color w:val="000000"/>
          <w:szCs w:val="24"/>
        </w:rPr>
        <w:t>Just Schools:</w:t>
      </w:r>
      <w:r w:rsidR="008F6761" w:rsidRPr="00AE4FCC">
        <w:rPr>
          <w:i/>
          <w:color w:val="000000"/>
          <w:szCs w:val="24"/>
        </w:rPr>
        <w:t xml:space="preserve"> </w:t>
      </w:r>
      <w:r w:rsidRPr="00AE4FCC">
        <w:rPr>
          <w:i/>
          <w:color w:val="000000"/>
          <w:szCs w:val="24"/>
        </w:rPr>
        <w:t>The Idea of Racial Equality in American Education</w:t>
      </w:r>
      <w:r w:rsidRPr="00AE4FCC">
        <w:rPr>
          <w:color w:val="000000"/>
          <w:szCs w:val="24"/>
        </w:rPr>
        <w:t xml:space="preserve">, in </w:t>
      </w:r>
      <w:r w:rsidRPr="00AE4FCC">
        <w:rPr>
          <w:i/>
          <w:color w:val="000000"/>
          <w:szCs w:val="24"/>
        </w:rPr>
        <w:t>The Public Historian</w:t>
      </w:r>
      <w:r w:rsidRPr="00AE4FCC">
        <w:rPr>
          <w:color w:val="000000"/>
          <w:szCs w:val="24"/>
        </w:rPr>
        <w:t>, 5, #3 (1983), 119-22.</w:t>
      </w:r>
    </w:p>
    <w:p w14:paraId="135DDD9B"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130B3A62"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Anthony P. Dunbar,</w:t>
      </w:r>
      <w:r w:rsidR="008F6761" w:rsidRPr="00AE4FCC">
        <w:rPr>
          <w:color w:val="000000"/>
          <w:szCs w:val="24"/>
        </w:rPr>
        <w:t xml:space="preserve"> </w:t>
      </w:r>
      <w:r w:rsidRPr="00AE4FCC">
        <w:rPr>
          <w:i/>
          <w:color w:val="000000"/>
          <w:szCs w:val="24"/>
        </w:rPr>
        <w:t>Against the Grain:</w:t>
      </w:r>
      <w:r w:rsidR="008F6761" w:rsidRPr="00AE4FCC">
        <w:rPr>
          <w:i/>
          <w:color w:val="000000"/>
          <w:szCs w:val="24"/>
        </w:rPr>
        <w:t xml:space="preserve"> </w:t>
      </w:r>
      <w:r w:rsidRPr="00AE4FCC">
        <w:rPr>
          <w:i/>
          <w:color w:val="000000"/>
          <w:szCs w:val="24"/>
        </w:rPr>
        <w:t>Southern Radicals and Prophets 1929-1959</w:t>
      </w:r>
      <w:r w:rsidRPr="00AE4FCC">
        <w:rPr>
          <w:color w:val="000000"/>
          <w:szCs w:val="24"/>
        </w:rPr>
        <w:t xml:space="preserve">, in </w:t>
      </w:r>
      <w:r w:rsidRPr="00AE4FCC">
        <w:rPr>
          <w:i/>
          <w:color w:val="000000"/>
          <w:szCs w:val="24"/>
        </w:rPr>
        <w:t>Business History Review</w:t>
      </w:r>
      <w:r w:rsidRPr="00AE4FCC">
        <w:rPr>
          <w:color w:val="000000"/>
          <w:szCs w:val="24"/>
        </w:rPr>
        <w:t>, 54 (1982), 608-09.</w:t>
      </w:r>
    </w:p>
    <w:p w14:paraId="30CB887C"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0B3FD072"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Jody Carlson,</w:t>
      </w:r>
      <w:r w:rsidR="008F6761" w:rsidRPr="00AE4FCC">
        <w:rPr>
          <w:color w:val="000000"/>
          <w:szCs w:val="24"/>
        </w:rPr>
        <w:t xml:space="preserve"> </w:t>
      </w:r>
      <w:r w:rsidRPr="00AE4FCC">
        <w:rPr>
          <w:i/>
          <w:color w:val="000000"/>
          <w:szCs w:val="24"/>
        </w:rPr>
        <w:t>George C. Wallace and the Politics of Powerlessness</w:t>
      </w:r>
      <w:r w:rsidRPr="00AE4FCC">
        <w:rPr>
          <w:color w:val="000000"/>
          <w:szCs w:val="24"/>
        </w:rPr>
        <w:t xml:space="preserve">, in </w:t>
      </w:r>
      <w:r w:rsidRPr="00AE4FCC">
        <w:rPr>
          <w:i/>
          <w:color w:val="000000"/>
          <w:szCs w:val="24"/>
        </w:rPr>
        <w:t>American Historical Review</w:t>
      </w:r>
      <w:r w:rsidRPr="00AE4FCC">
        <w:rPr>
          <w:color w:val="000000"/>
          <w:szCs w:val="24"/>
        </w:rPr>
        <w:t>, 87 (1982), 884.</w:t>
      </w:r>
    </w:p>
    <w:p w14:paraId="2A2C5F43"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034F4983"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Eric Anderson,</w:t>
      </w:r>
      <w:r w:rsidR="008F6761" w:rsidRPr="00AE4FCC">
        <w:rPr>
          <w:color w:val="000000"/>
          <w:szCs w:val="24"/>
        </w:rPr>
        <w:t xml:space="preserve"> </w:t>
      </w:r>
      <w:r w:rsidRPr="00AE4FCC">
        <w:rPr>
          <w:i/>
          <w:color w:val="000000"/>
          <w:szCs w:val="24"/>
        </w:rPr>
        <w:t>Race and Politics in North Carolina, 1872-1901: The Black Second</w:t>
      </w:r>
      <w:r w:rsidRPr="00AE4FCC">
        <w:rPr>
          <w:color w:val="000000"/>
          <w:szCs w:val="24"/>
        </w:rPr>
        <w:t xml:space="preserve">, in </w:t>
      </w:r>
      <w:r w:rsidRPr="00AE4FCC">
        <w:rPr>
          <w:i/>
          <w:color w:val="000000"/>
          <w:szCs w:val="24"/>
        </w:rPr>
        <w:t>Journal of Southern History</w:t>
      </w:r>
      <w:r w:rsidRPr="00AE4FCC">
        <w:rPr>
          <w:color w:val="000000"/>
          <w:szCs w:val="24"/>
        </w:rPr>
        <w:t>, 48 (1982), 123-25.</w:t>
      </w:r>
    </w:p>
    <w:p w14:paraId="13C3D499"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5ABFB94A"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William Gillette,</w:t>
      </w:r>
      <w:r w:rsidR="008F6761" w:rsidRPr="00AE4FCC">
        <w:rPr>
          <w:color w:val="000000"/>
          <w:szCs w:val="24"/>
        </w:rPr>
        <w:t xml:space="preserve"> </w:t>
      </w:r>
      <w:r w:rsidRPr="00AE4FCC">
        <w:rPr>
          <w:i/>
          <w:color w:val="000000"/>
          <w:szCs w:val="24"/>
        </w:rPr>
        <w:t>Retreat From Reconstruction, 1869-1879</w:t>
      </w:r>
      <w:r w:rsidRPr="00AE4FCC">
        <w:rPr>
          <w:color w:val="000000"/>
          <w:szCs w:val="24"/>
        </w:rPr>
        <w:t xml:space="preserve">, in </w:t>
      </w:r>
      <w:r w:rsidR="002478E5" w:rsidRPr="00AE4FCC">
        <w:rPr>
          <w:i/>
          <w:color w:val="000000"/>
          <w:szCs w:val="24"/>
        </w:rPr>
        <w:t xml:space="preserve">Register of the Kentucky </w:t>
      </w:r>
      <w:r w:rsidRPr="00AE4FCC">
        <w:rPr>
          <w:i/>
          <w:color w:val="000000"/>
          <w:szCs w:val="24"/>
        </w:rPr>
        <w:t xml:space="preserve">Historical </w:t>
      </w:r>
      <w:r w:rsidRPr="00AE4FCC">
        <w:rPr>
          <w:i/>
          <w:color w:val="000000"/>
          <w:szCs w:val="24"/>
        </w:rPr>
        <w:lastRenderedPageBreak/>
        <w:t>Society</w:t>
      </w:r>
      <w:r w:rsidRPr="00AE4FCC">
        <w:rPr>
          <w:color w:val="000000"/>
          <w:szCs w:val="24"/>
        </w:rPr>
        <w:t>, 79 (1981), 191-94; and 80 (1982), 214-16.</w:t>
      </w:r>
    </w:p>
    <w:p w14:paraId="08343636"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56105F6D"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Bruce A. Campbell and Richard J. Trilling, eds.,</w:t>
      </w:r>
      <w:r w:rsidR="008F6761" w:rsidRPr="00AE4FCC">
        <w:rPr>
          <w:color w:val="000000"/>
          <w:szCs w:val="24"/>
        </w:rPr>
        <w:t xml:space="preserve"> </w:t>
      </w:r>
      <w:r w:rsidRPr="00AE4FCC">
        <w:rPr>
          <w:i/>
          <w:color w:val="000000"/>
          <w:szCs w:val="24"/>
        </w:rPr>
        <w:t>Realignment in American Politics</w:t>
      </w:r>
      <w:r w:rsidRPr="00AE4FCC">
        <w:rPr>
          <w:color w:val="000000"/>
          <w:szCs w:val="24"/>
        </w:rPr>
        <w:t xml:space="preserve">, in </w:t>
      </w:r>
      <w:r w:rsidRPr="00AE4FCC">
        <w:rPr>
          <w:i/>
          <w:color w:val="000000"/>
          <w:szCs w:val="24"/>
        </w:rPr>
        <w:t>Reviews in American History</w:t>
      </w:r>
      <w:r w:rsidRPr="00AE4FCC">
        <w:rPr>
          <w:color w:val="000000"/>
          <w:szCs w:val="24"/>
        </w:rPr>
        <w:t>, 9 (1981), 23-28.</w:t>
      </w:r>
    </w:p>
    <w:p w14:paraId="4D29C013"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55BA6CD2"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 xml:space="preserve">Paul </w:t>
      </w:r>
      <w:proofErr w:type="spellStart"/>
      <w:r w:rsidRPr="00AE4FCC">
        <w:rPr>
          <w:color w:val="000000"/>
          <w:szCs w:val="24"/>
        </w:rPr>
        <w:t>Kleppner</w:t>
      </w:r>
      <w:proofErr w:type="spellEnd"/>
      <w:r w:rsidRPr="00AE4FCC">
        <w:rPr>
          <w:color w:val="000000"/>
          <w:szCs w:val="24"/>
        </w:rPr>
        <w:t>,</w:t>
      </w:r>
      <w:r w:rsidR="008F6761" w:rsidRPr="00AE4FCC">
        <w:rPr>
          <w:color w:val="000000"/>
          <w:szCs w:val="24"/>
        </w:rPr>
        <w:t xml:space="preserve"> </w:t>
      </w:r>
      <w:r w:rsidRPr="00AE4FCC">
        <w:rPr>
          <w:i/>
          <w:color w:val="000000"/>
          <w:szCs w:val="24"/>
        </w:rPr>
        <w:t>The Third Electoral Era</w:t>
      </w:r>
      <w:r w:rsidRPr="00AE4FCC">
        <w:rPr>
          <w:color w:val="000000"/>
          <w:szCs w:val="24"/>
        </w:rPr>
        <w:t>, in</w:t>
      </w:r>
      <w:r w:rsidR="008F6761" w:rsidRPr="00AE4FCC">
        <w:rPr>
          <w:color w:val="000000"/>
          <w:szCs w:val="24"/>
        </w:rPr>
        <w:t xml:space="preserve"> </w:t>
      </w:r>
      <w:r w:rsidRPr="00AE4FCC">
        <w:rPr>
          <w:i/>
          <w:color w:val="000000"/>
          <w:szCs w:val="24"/>
        </w:rPr>
        <w:t>Journal of American History</w:t>
      </w:r>
      <w:r w:rsidRPr="00AE4FCC">
        <w:rPr>
          <w:color w:val="000000"/>
          <w:szCs w:val="24"/>
        </w:rPr>
        <w:t xml:space="preserve"> (December 1979), 670-</w:t>
      </w:r>
      <w:r w:rsidR="00141B25" w:rsidRPr="00AE4FCC">
        <w:rPr>
          <w:color w:val="000000"/>
          <w:szCs w:val="24"/>
        </w:rPr>
        <w:t>7</w:t>
      </w:r>
      <w:r w:rsidRPr="00AE4FCC">
        <w:rPr>
          <w:color w:val="000000"/>
          <w:szCs w:val="24"/>
        </w:rPr>
        <w:t>1.</w:t>
      </w:r>
    </w:p>
    <w:p w14:paraId="6BED9EE9"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15F63CB2"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Jonathan M. Wiener,</w:t>
      </w:r>
      <w:r w:rsidR="008F6761" w:rsidRPr="00AE4FCC">
        <w:rPr>
          <w:color w:val="000000"/>
          <w:szCs w:val="24"/>
        </w:rPr>
        <w:t xml:space="preserve"> </w:t>
      </w:r>
      <w:r w:rsidRPr="00AE4FCC">
        <w:rPr>
          <w:i/>
          <w:color w:val="000000"/>
          <w:szCs w:val="24"/>
        </w:rPr>
        <w:t>Social Origins of the New South:</w:t>
      </w:r>
      <w:r w:rsidR="008F6761" w:rsidRPr="00AE4FCC">
        <w:rPr>
          <w:i/>
          <w:color w:val="000000"/>
          <w:szCs w:val="24"/>
        </w:rPr>
        <w:t xml:space="preserve"> </w:t>
      </w:r>
      <w:r w:rsidRPr="00AE4FCC">
        <w:rPr>
          <w:i/>
          <w:color w:val="000000"/>
          <w:szCs w:val="24"/>
        </w:rPr>
        <w:t>Alabama, 1865-1885</w:t>
      </w:r>
      <w:r w:rsidRPr="00AE4FCC">
        <w:rPr>
          <w:color w:val="000000"/>
          <w:szCs w:val="24"/>
        </w:rPr>
        <w:t xml:space="preserve"> in</w:t>
      </w:r>
      <w:r w:rsidR="008F6761" w:rsidRPr="00AE4FCC">
        <w:rPr>
          <w:color w:val="000000"/>
          <w:szCs w:val="24"/>
        </w:rPr>
        <w:t xml:space="preserve"> </w:t>
      </w:r>
      <w:r w:rsidRPr="00AE4FCC">
        <w:rPr>
          <w:i/>
          <w:color w:val="000000"/>
          <w:szCs w:val="24"/>
        </w:rPr>
        <w:t>American Historical Review</w:t>
      </w:r>
      <w:r w:rsidRPr="00AE4FCC">
        <w:rPr>
          <w:color w:val="000000"/>
          <w:szCs w:val="24"/>
        </w:rPr>
        <w:t xml:space="preserve"> (December 1979), 1482-</w:t>
      </w:r>
      <w:r w:rsidR="00141B25" w:rsidRPr="00AE4FCC">
        <w:rPr>
          <w:color w:val="000000"/>
          <w:szCs w:val="24"/>
        </w:rPr>
        <w:t>8</w:t>
      </w:r>
      <w:r w:rsidRPr="00AE4FCC">
        <w:rPr>
          <w:color w:val="000000"/>
          <w:szCs w:val="24"/>
        </w:rPr>
        <w:t>3.</w:t>
      </w:r>
    </w:p>
    <w:p w14:paraId="22832972"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1CD9B768"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 xml:space="preserve">Joel </w:t>
      </w:r>
      <w:proofErr w:type="spellStart"/>
      <w:r w:rsidRPr="00AE4FCC">
        <w:rPr>
          <w:color w:val="000000"/>
          <w:szCs w:val="24"/>
        </w:rPr>
        <w:t>Silbey</w:t>
      </w:r>
      <w:proofErr w:type="spellEnd"/>
      <w:r w:rsidRPr="00AE4FCC">
        <w:rPr>
          <w:color w:val="000000"/>
          <w:szCs w:val="24"/>
        </w:rPr>
        <w:t xml:space="preserve"> et al.,</w:t>
      </w:r>
      <w:r w:rsidR="008F6761" w:rsidRPr="00AE4FCC">
        <w:rPr>
          <w:color w:val="000000"/>
          <w:szCs w:val="24"/>
        </w:rPr>
        <w:t xml:space="preserve"> </w:t>
      </w:r>
      <w:r w:rsidRPr="00AE4FCC">
        <w:rPr>
          <w:i/>
          <w:color w:val="000000"/>
          <w:szCs w:val="24"/>
        </w:rPr>
        <w:t>The History of American Electoral Behavior</w:t>
      </w:r>
      <w:r w:rsidRPr="00AE4FCC">
        <w:rPr>
          <w:color w:val="000000"/>
          <w:szCs w:val="24"/>
        </w:rPr>
        <w:t xml:space="preserve"> in </w:t>
      </w:r>
      <w:r w:rsidRPr="00AE4FCC">
        <w:rPr>
          <w:i/>
          <w:color w:val="000000"/>
          <w:szCs w:val="24"/>
        </w:rPr>
        <w:t>Reviews in American History</w:t>
      </w:r>
      <w:r w:rsidRPr="00AE4FCC">
        <w:rPr>
          <w:color w:val="000000"/>
          <w:szCs w:val="24"/>
        </w:rPr>
        <w:t>, 7 (1979), 157-62.</w:t>
      </w:r>
    </w:p>
    <w:p w14:paraId="675DE513"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1829F102"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Jack Bass and Walter DeVries,</w:t>
      </w:r>
      <w:r w:rsidR="008F6761" w:rsidRPr="00AE4FCC">
        <w:rPr>
          <w:color w:val="000000"/>
          <w:szCs w:val="24"/>
        </w:rPr>
        <w:t xml:space="preserve"> </w:t>
      </w:r>
      <w:r w:rsidRPr="00AE4FCC">
        <w:rPr>
          <w:i/>
          <w:color w:val="000000"/>
          <w:szCs w:val="24"/>
        </w:rPr>
        <w:t>The Transformation of Southern Politics</w:t>
      </w:r>
      <w:r w:rsidRPr="00AE4FCC">
        <w:rPr>
          <w:color w:val="000000"/>
          <w:szCs w:val="24"/>
        </w:rPr>
        <w:t xml:space="preserve">, in </w:t>
      </w:r>
      <w:r w:rsidRPr="00AE4FCC">
        <w:rPr>
          <w:i/>
          <w:color w:val="000000"/>
          <w:szCs w:val="24"/>
        </w:rPr>
        <w:t>American Historical Review</w:t>
      </w:r>
      <w:r w:rsidRPr="00AE4FCC">
        <w:rPr>
          <w:color w:val="000000"/>
          <w:szCs w:val="24"/>
        </w:rPr>
        <w:t xml:space="preserve"> (December 1978), 1368-69.</w:t>
      </w:r>
    </w:p>
    <w:p w14:paraId="1C0F8ACF" w14:textId="77777777" w:rsidR="002478E5" w:rsidRPr="00AE4FCC" w:rsidRDefault="002478E5"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p>
    <w:p w14:paraId="1B4CD9B4"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Michael P. Johnson,</w:t>
      </w:r>
      <w:r w:rsidR="008F6761" w:rsidRPr="00AE4FCC">
        <w:rPr>
          <w:color w:val="000000"/>
          <w:szCs w:val="24"/>
        </w:rPr>
        <w:t xml:space="preserve"> </w:t>
      </w:r>
      <w:r w:rsidRPr="00AE4FCC">
        <w:rPr>
          <w:i/>
          <w:color w:val="000000"/>
          <w:szCs w:val="24"/>
        </w:rPr>
        <w:t>Toward a Patriarchal Republic:</w:t>
      </w:r>
      <w:r w:rsidR="008F6761" w:rsidRPr="00AE4FCC">
        <w:rPr>
          <w:i/>
          <w:color w:val="000000"/>
          <w:szCs w:val="24"/>
        </w:rPr>
        <w:t xml:space="preserve"> </w:t>
      </w:r>
      <w:r w:rsidRPr="00AE4FCC">
        <w:rPr>
          <w:i/>
          <w:color w:val="000000"/>
          <w:szCs w:val="24"/>
        </w:rPr>
        <w:t>The Secession of Georgia</w:t>
      </w:r>
      <w:r w:rsidRPr="00AE4FCC">
        <w:rPr>
          <w:color w:val="000000"/>
          <w:szCs w:val="24"/>
        </w:rPr>
        <w:t xml:space="preserve"> in </w:t>
      </w:r>
      <w:r w:rsidRPr="00AE4FCC">
        <w:rPr>
          <w:i/>
          <w:color w:val="000000"/>
          <w:szCs w:val="24"/>
        </w:rPr>
        <w:t>Journal of Interdisciplinary History</w:t>
      </w:r>
      <w:r w:rsidRPr="00AE4FCC">
        <w:rPr>
          <w:color w:val="000000"/>
          <w:szCs w:val="24"/>
        </w:rPr>
        <w:t>, 9 (Autumn 1978), 374-76.</w:t>
      </w:r>
    </w:p>
    <w:p w14:paraId="6E489233" w14:textId="77777777" w:rsidR="002478E5" w:rsidRPr="00AE4FCC" w:rsidRDefault="002478E5"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p>
    <w:p w14:paraId="711D9720"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Michael Schwartz,</w:t>
      </w:r>
      <w:r w:rsidR="008F6761" w:rsidRPr="00AE4FCC">
        <w:rPr>
          <w:color w:val="000000"/>
          <w:szCs w:val="24"/>
        </w:rPr>
        <w:t xml:space="preserve"> </w:t>
      </w:r>
      <w:r w:rsidRPr="00AE4FCC">
        <w:rPr>
          <w:i/>
          <w:color w:val="000000"/>
          <w:szCs w:val="24"/>
        </w:rPr>
        <w:t>Radical Protest and Social Structure:</w:t>
      </w:r>
      <w:r w:rsidR="008F6761" w:rsidRPr="00AE4FCC">
        <w:rPr>
          <w:i/>
          <w:color w:val="000000"/>
          <w:szCs w:val="24"/>
        </w:rPr>
        <w:t xml:space="preserve"> </w:t>
      </w:r>
      <w:r w:rsidRPr="00AE4FCC">
        <w:rPr>
          <w:i/>
          <w:color w:val="000000"/>
          <w:szCs w:val="24"/>
        </w:rPr>
        <w:t>The Southern Farmers’ Alliance and</w:t>
      </w:r>
      <w:r w:rsidR="008F6761" w:rsidRPr="00AE4FCC">
        <w:rPr>
          <w:i/>
          <w:color w:val="000000"/>
          <w:szCs w:val="24"/>
        </w:rPr>
        <w:t xml:space="preserve"> </w:t>
      </w:r>
      <w:r w:rsidRPr="00AE4FCC">
        <w:rPr>
          <w:i/>
          <w:color w:val="000000"/>
          <w:szCs w:val="24"/>
        </w:rPr>
        <w:t>Cotton Tenancy, 1880-1890</w:t>
      </w:r>
      <w:r w:rsidRPr="00AE4FCC">
        <w:rPr>
          <w:color w:val="000000"/>
          <w:szCs w:val="24"/>
        </w:rPr>
        <w:t>, in</w:t>
      </w:r>
      <w:r w:rsidR="008F6761" w:rsidRPr="00AE4FCC">
        <w:rPr>
          <w:color w:val="000000"/>
          <w:szCs w:val="24"/>
        </w:rPr>
        <w:t xml:space="preserve"> </w:t>
      </w:r>
      <w:r w:rsidRPr="00AE4FCC">
        <w:rPr>
          <w:i/>
          <w:color w:val="000000"/>
          <w:szCs w:val="24"/>
        </w:rPr>
        <w:t>Journal of American History</w:t>
      </w:r>
      <w:r w:rsidRPr="00AE4FCC">
        <w:rPr>
          <w:color w:val="000000"/>
          <w:szCs w:val="24"/>
        </w:rPr>
        <w:t xml:space="preserve"> (December 1977), 811-812.</w:t>
      </w:r>
    </w:p>
    <w:p w14:paraId="173B9659"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ab/>
      </w:r>
      <w:r w:rsidRPr="00AE4FCC">
        <w:rPr>
          <w:color w:val="000000"/>
          <w:szCs w:val="24"/>
        </w:rPr>
        <w:tab/>
      </w:r>
      <w:r w:rsidRPr="00AE4FCC">
        <w:rPr>
          <w:color w:val="000000"/>
          <w:szCs w:val="24"/>
        </w:rPr>
        <w:tab/>
      </w:r>
      <w:r w:rsidRPr="00AE4FCC">
        <w:rPr>
          <w:color w:val="000000"/>
          <w:szCs w:val="24"/>
        </w:rPr>
        <w:tab/>
      </w:r>
      <w:r w:rsidRPr="00AE4FCC">
        <w:rPr>
          <w:color w:val="000000"/>
          <w:szCs w:val="24"/>
        </w:rPr>
        <w:tab/>
      </w:r>
      <w:r w:rsidRPr="00AE4FCC">
        <w:rPr>
          <w:color w:val="000000"/>
          <w:szCs w:val="24"/>
        </w:rPr>
        <w:tab/>
      </w:r>
      <w:r w:rsidRPr="00AE4FCC">
        <w:rPr>
          <w:color w:val="000000"/>
          <w:szCs w:val="24"/>
        </w:rPr>
        <w:tab/>
      </w:r>
    </w:p>
    <w:p w14:paraId="64038136"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Hugh D. Graham and Numan V. Bartley,</w:t>
      </w:r>
      <w:r w:rsidR="008F6761" w:rsidRPr="00AE4FCC">
        <w:rPr>
          <w:color w:val="000000"/>
          <w:szCs w:val="24"/>
        </w:rPr>
        <w:t xml:space="preserve"> </w:t>
      </w:r>
      <w:r w:rsidRPr="00AE4FCC">
        <w:rPr>
          <w:i/>
          <w:color w:val="000000"/>
          <w:szCs w:val="24"/>
        </w:rPr>
        <w:t>Southern Politics and the Second Reconstruction</w:t>
      </w:r>
      <w:r w:rsidRPr="00AE4FCC">
        <w:rPr>
          <w:color w:val="000000"/>
          <w:szCs w:val="24"/>
        </w:rPr>
        <w:t xml:space="preserve">, in </w:t>
      </w:r>
      <w:r w:rsidRPr="00AE4FCC">
        <w:rPr>
          <w:i/>
          <w:color w:val="000000"/>
          <w:szCs w:val="24"/>
        </w:rPr>
        <w:t>American Historical Review</w:t>
      </w:r>
      <w:r w:rsidRPr="00AE4FCC">
        <w:rPr>
          <w:color w:val="000000"/>
          <w:szCs w:val="24"/>
        </w:rPr>
        <w:t xml:space="preserve"> 82 (1977), 217.</w:t>
      </w:r>
    </w:p>
    <w:p w14:paraId="7580ED40"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6E1A9B05"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 xml:space="preserve">Lawrence Grossman, </w:t>
      </w:r>
      <w:r w:rsidRPr="00AE4FCC">
        <w:rPr>
          <w:i/>
          <w:color w:val="000000"/>
          <w:szCs w:val="24"/>
        </w:rPr>
        <w:t>The Democratic Party and The Negro:</w:t>
      </w:r>
      <w:r w:rsidR="008F6761" w:rsidRPr="00AE4FCC">
        <w:rPr>
          <w:i/>
          <w:color w:val="000000"/>
          <w:szCs w:val="24"/>
        </w:rPr>
        <w:t xml:space="preserve"> </w:t>
      </w:r>
      <w:r w:rsidRPr="00AE4FCC">
        <w:rPr>
          <w:i/>
          <w:color w:val="000000"/>
          <w:szCs w:val="24"/>
        </w:rPr>
        <w:t>Northern and National Politics, 1868-92</w:t>
      </w:r>
      <w:r w:rsidRPr="00AE4FCC">
        <w:rPr>
          <w:color w:val="000000"/>
          <w:szCs w:val="24"/>
        </w:rPr>
        <w:t xml:space="preserve">, in </w:t>
      </w:r>
      <w:r w:rsidRPr="00AE4FCC">
        <w:rPr>
          <w:i/>
          <w:color w:val="000000"/>
          <w:szCs w:val="24"/>
        </w:rPr>
        <w:t>Journal of Ethnic Studies</w:t>
      </w:r>
      <w:r w:rsidRPr="00AE4FCC">
        <w:rPr>
          <w:color w:val="000000"/>
          <w:szCs w:val="24"/>
        </w:rPr>
        <w:t>, 4 (1977), 114-117.</w:t>
      </w:r>
    </w:p>
    <w:p w14:paraId="0DBA08E1"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34F34F2B"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John Shelton Reed,</w:t>
      </w:r>
      <w:r w:rsidR="008F6761" w:rsidRPr="00AE4FCC">
        <w:rPr>
          <w:color w:val="000000"/>
          <w:szCs w:val="24"/>
        </w:rPr>
        <w:t xml:space="preserve"> </w:t>
      </w:r>
      <w:r w:rsidRPr="00AE4FCC">
        <w:rPr>
          <w:i/>
          <w:color w:val="000000"/>
          <w:szCs w:val="24"/>
        </w:rPr>
        <w:t>The Enduring South</w:t>
      </w:r>
      <w:r w:rsidRPr="00AE4FCC">
        <w:rPr>
          <w:color w:val="000000"/>
          <w:szCs w:val="24"/>
        </w:rPr>
        <w:t xml:space="preserve">, in </w:t>
      </w:r>
      <w:r w:rsidRPr="00AE4FCC">
        <w:rPr>
          <w:i/>
          <w:color w:val="000000"/>
          <w:szCs w:val="24"/>
        </w:rPr>
        <w:t>Red River Valley Historical Review</w:t>
      </w:r>
      <w:r w:rsidRPr="00AE4FCC">
        <w:rPr>
          <w:color w:val="000000"/>
          <w:szCs w:val="24"/>
        </w:rPr>
        <w:t>, 4 (1979), 98-99.</w:t>
      </w:r>
    </w:p>
    <w:p w14:paraId="7530FDA2"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737F27F5"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Louis Galambos,</w:t>
      </w:r>
      <w:r w:rsidR="008F6761" w:rsidRPr="00AE4FCC">
        <w:rPr>
          <w:color w:val="000000"/>
          <w:szCs w:val="24"/>
        </w:rPr>
        <w:t xml:space="preserve"> </w:t>
      </w:r>
      <w:r w:rsidRPr="00AE4FCC">
        <w:rPr>
          <w:i/>
          <w:color w:val="000000"/>
          <w:szCs w:val="24"/>
        </w:rPr>
        <w:t>The Public Image of Big Business in America, 1880-1940</w:t>
      </w:r>
      <w:r w:rsidRPr="00AE4FCC">
        <w:rPr>
          <w:color w:val="000000"/>
          <w:szCs w:val="24"/>
        </w:rPr>
        <w:t xml:space="preserve"> in</w:t>
      </w:r>
      <w:r w:rsidR="008F6761" w:rsidRPr="00AE4FCC">
        <w:rPr>
          <w:color w:val="000000"/>
          <w:szCs w:val="24"/>
        </w:rPr>
        <w:t xml:space="preserve"> </w:t>
      </w:r>
      <w:r w:rsidRPr="00AE4FCC">
        <w:rPr>
          <w:i/>
          <w:color w:val="000000"/>
          <w:szCs w:val="24"/>
        </w:rPr>
        <w:t>Journal of American History</w:t>
      </w:r>
      <w:r w:rsidRPr="00AE4FCC">
        <w:rPr>
          <w:color w:val="000000"/>
          <w:szCs w:val="24"/>
        </w:rPr>
        <w:t xml:space="preserve"> (September 1975), 437-38.</w:t>
      </w:r>
    </w:p>
    <w:p w14:paraId="702CE8CC"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05EBD1A0"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Monroe Lee Billington,</w:t>
      </w:r>
      <w:r w:rsidR="008F6761" w:rsidRPr="00AE4FCC">
        <w:rPr>
          <w:color w:val="000000"/>
          <w:szCs w:val="24"/>
        </w:rPr>
        <w:t xml:space="preserve"> </w:t>
      </w:r>
      <w:r w:rsidRPr="00AE4FCC">
        <w:rPr>
          <w:i/>
          <w:color w:val="000000"/>
          <w:szCs w:val="24"/>
        </w:rPr>
        <w:t>The Political South in the Twentieth Century</w:t>
      </w:r>
      <w:r w:rsidRPr="00AE4FCC">
        <w:rPr>
          <w:color w:val="000000"/>
          <w:szCs w:val="24"/>
        </w:rPr>
        <w:t>, in</w:t>
      </w:r>
      <w:r w:rsidR="008F6761" w:rsidRPr="00AE4FCC">
        <w:rPr>
          <w:color w:val="000000"/>
          <w:szCs w:val="24"/>
        </w:rPr>
        <w:t xml:space="preserve"> </w:t>
      </w:r>
      <w:r w:rsidRPr="00AE4FCC">
        <w:rPr>
          <w:i/>
          <w:color w:val="000000"/>
          <w:szCs w:val="24"/>
        </w:rPr>
        <w:t>Political Science Quarterly</w:t>
      </w:r>
      <w:r w:rsidRPr="00AE4FCC">
        <w:rPr>
          <w:color w:val="000000"/>
          <w:szCs w:val="24"/>
        </w:rPr>
        <w:t>, 90 (1975), 561-562.</w:t>
      </w:r>
    </w:p>
    <w:p w14:paraId="42D58FD0"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15FAEA3E"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Roger L. Hart,</w:t>
      </w:r>
      <w:r w:rsidR="008F6761" w:rsidRPr="00AE4FCC">
        <w:rPr>
          <w:color w:val="000000"/>
          <w:szCs w:val="24"/>
        </w:rPr>
        <w:t xml:space="preserve"> </w:t>
      </w:r>
      <w:r w:rsidRPr="00AE4FCC">
        <w:rPr>
          <w:i/>
          <w:color w:val="000000"/>
          <w:szCs w:val="24"/>
        </w:rPr>
        <w:t>Redeemers, Bourbons, and Populists:</w:t>
      </w:r>
      <w:r w:rsidR="008F6761" w:rsidRPr="00AE4FCC">
        <w:rPr>
          <w:i/>
          <w:color w:val="000000"/>
          <w:szCs w:val="24"/>
        </w:rPr>
        <w:t xml:space="preserve"> </w:t>
      </w:r>
      <w:r w:rsidRPr="00AE4FCC">
        <w:rPr>
          <w:i/>
          <w:color w:val="000000"/>
          <w:szCs w:val="24"/>
        </w:rPr>
        <w:t>Tennessee, 1870-1896</w:t>
      </w:r>
      <w:r w:rsidRPr="00AE4FCC">
        <w:rPr>
          <w:color w:val="000000"/>
          <w:szCs w:val="24"/>
        </w:rPr>
        <w:t>, in</w:t>
      </w:r>
      <w:r w:rsidR="008F6761" w:rsidRPr="00AE4FCC">
        <w:rPr>
          <w:color w:val="000000"/>
          <w:szCs w:val="24"/>
        </w:rPr>
        <w:t xml:space="preserve"> </w:t>
      </w:r>
      <w:r w:rsidRPr="00AE4FCC">
        <w:rPr>
          <w:i/>
          <w:color w:val="000000"/>
          <w:szCs w:val="24"/>
        </w:rPr>
        <w:t>Journal of American History</w:t>
      </w:r>
      <w:r w:rsidRPr="00AE4FCC">
        <w:rPr>
          <w:color w:val="000000"/>
          <w:szCs w:val="24"/>
        </w:rPr>
        <w:t xml:space="preserve"> (March 1976), 1005-06.</w:t>
      </w:r>
    </w:p>
    <w:p w14:paraId="55F91188"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4F227369"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James B. Murphy,</w:t>
      </w:r>
      <w:r w:rsidR="008F6761" w:rsidRPr="00AE4FCC">
        <w:rPr>
          <w:color w:val="000000"/>
          <w:szCs w:val="24"/>
        </w:rPr>
        <w:t xml:space="preserve"> </w:t>
      </w:r>
      <w:r w:rsidRPr="00AE4FCC">
        <w:rPr>
          <w:color w:val="000000"/>
          <w:szCs w:val="24"/>
        </w:rPr>
        <w:t>L.Q.C. Lamar:</w:t>
      </w:r>
      <w:r w:rsidR="008F6761" w:rsidRPr="00AE4FCC">
        <w:rPr>
          <w:color w:val="000000"/>
          <w:szCs w:val="24"/>
        </w:rPr>
        <w:t xml:space="preserve"> </w:t>
      </w:r>
      <w:r w:rsidRPr="00AE4FCC">
        <w:rPr>
          <w:color w:val="000000"/>
          <w:szCs w:val="24"/>
        </w:rPr>
        <w:t>Pragmatic Patriot, in</w:t>
      </w:r>
      <w:r w:rsidR="008F6761" w:rsidRPr="00AE4FCC">
        <w:rPr>
          <w:color w:val="000000"/>
          <w:szCs w:val="24"/>
        </w:rPr>
        <w:t xml:space="preserve"> </w:t>
      </w:r>
      <w:r w:rsidRPr="00AE4FCC">
        <w:rPr>
          <w:i/>
          <w:color w:val="000000"/>
          <w:szCs w:val="24"/>
        </w:rPr>
        <w:t>Mississippi Quarterly</w:t>
      </w:r>
      <w:r w:rsidRPr="00AE4FCC">
        <w:rPr>
          <w:color w:val="000000"/>
          <w:szCs w:val="24"/>
        </w:rPr>
        <w:t>, 27 (1974-75), 109-114.</w:t>
      </w:r>
    </w:p>
    <w:p w14:paraId="77B25749"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0FCB8B0D"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Charles M. Dollar and Richard J. Jensen,</w:t>
      </w:r>
      <w:r w:rsidR="008F6761" w:rsidRPr="00AE4FCC">
        <w:rPr>
          <w:color w:val="000000"/>
          <w:szCs w:val="24"/>
        </w:rPr>
        <w:t xml:space="preserve"> </w:t>
      </w:r>
      <w:r w:rsidRPr="00AE4FCC">
        <w:rPr>
          <w:i/>
          <w:color w:val="000000"/>
          <w:szCs w:val="24"/>
        </w:rPr>
        <w:t>Historian's Guide to Statistics:</w:t>
      </w:r>
      <w:r w:rsidR="008F6761" w:rsidRPr="00AE4FCC">
        <w:rPr>
          <w:i/>
          <w:color w:val="000000"/>
          <w:szCs w:val="24"/>
        </w:rPr>
        <w:t xml:space="preserve"> </w:t>
      </w:r>
      <w:r w:rsidRPr="00AE4FCC">
        <w:rPr>
          <w:i/>
          <w:color w:val="000000"/>
          <w:szCs w:val="24"/>
        </w:rPr>
        <w:t>Quantitative Analysis and Historical Research</w:t>
      </w:r>
      <w:r w:rsidRPr="00AE4FCC">
        <w:rPr>
          <w:color w:val="000000"/>
          <w:szCs w:val="24"/>
        </w:rPr>
        <w:t>, in</w:t>
      </w:r>
      <w:r w:rsidR="008F6761" w:rsidRPr="00AE4FCC">
        <w:rPr>
          <w:color w:val="000000"/>
          <w:szCs w:val="24"/>
        </w:rPr>
        <w:t xml:space="preserve"> </w:t>
      </w:r>
      <w:r w:rsidRPr="00AE4FCC">
        <w:rPr>
          <w:i/>
          <w:color w:val="000000"/>
          <w:szCs w:val="24"/>
        </w:rPr>
        <w:t>Journal of the American Statistical Association</w:t>
      </w:r>
      <w:r w:rsidRPr="00AE4FCC">
        <w:rPr>
          <w:color w:val="000000"/>
          <w:szCs w:val="24"/>
        </w:rPr>
        <w:t>, 67 (1972), 493.</w:t>
      </w:r>
    </w:p>
    <w:p w14:paraId="0EA22B32" w14:textId="77777777" w:rsidR="00D65162" w:rsidRPr="00AE4FCC" w:rsidRDefault="00D65162"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p>
    <w:p w14:paraId="7E5FDCDA"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b/>
          <w:color w:val="000000"/>
          <w:szCs w:val="24"/>
        </w:rPr>
        <w:t>Unpublished Works</w:t>
      </w:r>
    </w:p>
    <w:p w14:paraId="3EA8802C"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6149DDE4"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“Tennessee Politics and The Negro, 1948-1964" (A.B. thesis, Princeton University, 1965).</w:t>
      </w:r>
    </w:p>
    <w:p w14:paraId="69D25FB9"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ab/>
      </w:r>
      <w:r w:rsidRPr="00AE4FCC">
        <w:rPr>
          <w:color w:val="000000"/>
          <w:szCs w:val="24"/>
        </w:rPr>
        <w:tab/>
      </w:r>
    </w:p>
    <w:p w14:paraId="46AF2BA0"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jc w:val="center"/>
        <w:rPr>
          <w:b/>
          <w:color w:val="000000"/>
          <w:szCs w:val="24"/>
        </w:rPr>
      </w:pPr>
      <w:r w:rsidRPr="00AE4FCC">
        <w:rPr>
          <w:b/>
          <w:color w:val="000000"/>
          <w:szCs w:val="24"/>
        </w:rPr>
        <w:t>POST-DOCTORAL GRANTS AND AWARDS</w:t>
      </w:r>
    </w:p>
    <w:p w14:paraId="492976C9"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56BED8CE"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National Endowment for the Humanities Grant #R-9980-140, “Political Outputs in the South:</w:t>
      </w:r>
      <w:r w:rsidR="008F6761" w:rsidRPr="00AE4FCC">
        <w:rPr>
          <w:color w:val="000000"/>
          <w:szCs w:val="24"/>
        </w:rPr>
        <w:t xml:space="preserve"> </w:t>
      </w:r>
      <w:r w:rsidRPr="00AE4FCC">
        <w:rPr>
          <w:color w:val="000000"/>
          <w:szCs w:val="24"/>
        </w:rPr>
        <w:t>Who Got What, When, Where, and Why?”</w:t>
      </w:r>
      <w:r w:rsidR="008F6761" w:rsidRPr="00AE4FCC">
        <w:rPr>
          <w:color w:val="000000"/>
          <w:szCs w:val="24"/>
        </w:rPr>
        <w:t xml:space="preserve"> </w:t>
      </w:r>
      <w:r w:rsidRPr="00AE4FCC">
        <w:rPr>
          <w:color w:val="000000"/>
          <w:szCs w:val="24"/>
        </w:rPr>
        <w:t>January 1, 1974--May 31, 1975, $23,641.</w:t>
      </w:r>
    </w:p>
    <w:p w14:paraId="7290443A"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23966CC4"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Graves Foundation Award, Summer, 1976</w:t>
      </w:r>
    </w:p>
    <w:p w14:paraId="5CD7733E"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506CFBC5"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Howard Foundation Fellowship, 1979-80</w:t>
      </w:r>
    </w:p>
    <w:p w14:paraId="0003A424"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26BC97F3"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National Endowment for the Humanities Grant #RO-20225-82, 1981-83, “Separate But Not Equal:</w:t>
      </w:r>
      <w:r w:rsidR="008F6761" w:rsidRPr="00AE4FCC">
        <w:rPr>
          <w:color w:val="000000"/>
          <w:szCs w:val="24"/>
        </w:rPr>
        <w:t xml:space="preserve"> </w:t>
      </w:r>
      <w:r w:rsidRPr="00AE4FCC">
        <w:rPr>
          <w:color w:val="000000"/>
          <w:szCs w:val="24"/>
        </w:rPr>
        <w:t>A Social History of School Racial Discrimination Law in the Nineteenth Century,” $74,860.</w:t>
      </w:r>
    </w:p>
    <w:p w14:paraId="2C1E18D3"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19AB2C43"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Guggenheim Fellowship, 1985-86</w:t>
      </w:r>
    </w:p>
    <w:p w14:paraId="56CDBAC0"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2D8246FC"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Woodrow Wilson Center Fellowship, 1985-86</w:t>
      </w:r>
    </w:p>
    <w:p w14:paraId="79E9EAA4"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1DDB7F28"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Haynes Foundation Grant, 1989-90</w:t>
      </w:r>
    </w:p>
    <w:p w14:paraId="08A9D277"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75FBC3CB"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Lillian Smith Award, Southern Regional Council, 1999 (co-winner)</w:t>
      </w:r>
    </w:p>
    <w:p w14:paraId="56933529"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686B4DD1"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Ralph J. Bunche Award, American Political Science Assn., 2000 (co-winner)</w:t>
      </w:r>
    </w:p>
    <w:p w14:paraId="779548A7"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351126EE"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Richard P. Feynman Prize for Excellence in Teaching, Caltech, 2011</w:t>
      </w:r>
    </w:p>
    <w:p w14:paraId="6E0F4077"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5A29046C"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Associated Students of Caltech Teaching Award, 1988-89, 2012-13</w:t>
      </w:r>
    </w:p>
    <w:p w14:paraId="729B925A" w14:textId="77777777" w:rsidR="00BD6321" w:rsidRPr="00AE4FCC" w:rsidRDefault="00BD6321">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00"/>
        <w:rPr>
          <w:color w:val="000000"/>
          <w:szCs w:val="24"/>
        </w:rPr>
      </w:pPr>
    </w:p>
    <w:p w14:paraId="554A6ED8"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color w:val="000000"/>
          <w:szCs w:val="24"/>
        </w:rPr>
      </w:pPr>
      <w:r w:rsidRPr="00AE4FCC">
        <w:rPr>
          <w:b/>
          <w:color w:val="000000"/>
          <w:szCs w:val="24"/>
        </w:rPr>
        <w:t>TEACHING</w:t>
      </w:r>
    </w:p>
    <w:p w14:paraId="238B40E4"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color w:val="000000"/>
          <w:szCs w:val="24"/>
        </w:rPr>
      </w:pPr>
    </w:p>
    <w:p w14:paraId="30453E4D"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color w:val="000000"/>
          <w:szCs w:val="24"/>
        </w:rPr>
      </w:pPr>
      <w:r w:rsidRPr="00AE4FCC">
        <w:rPr>
          <w:b/>
          <w:color w:val="000000"/>
          <w:szCs w:val="24"/>
        </w:rPr>
        <w:t>Undergraduate</w:t>
      </w:r>
    </w:p>
    <w:p w14:paraId="6B73D0C9" w14:textId="77777777" w:rsidR="00D65162" w:rsidRPr="00AE4FCC" w:rsidRDefault="00D65162"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color w:val="000000"/>
          <w:szCs w:val="24"/>
        </w:rPr>
      </w:pPr>
    </w:p>
    <w:p w14:paraId="551D8D6E" w14:textId="77777777" w:rsidR="00D65162"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U.S. History, Colonial - Present (many courses)</w:t>
      </w:r>
    </w:p>
    <w:p w14:paraId="69C789B4" w14:textId="77777777" w:rsidR="00D65162"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0" w:hanging="7200"/>
        <w:contextualSpacing/>
        <w:rPr>
          <w:color w:val="000000"/>
          <w:szCs w:val="24"/>
        </w:rPr>
      </w:pPr>
      <w:r w:rsidRPr="00AE4FCC">
        <w:rPr>
          <w:color w:val="000000"/>
          <w:szCs w:val="24"/>
        </w:rPr>
        <w:t>Why Were We in Vietnam?</w:t>
      </w:r>
      <w:r w:rsidRPr="00AE4FCC">
        <w:rPr>
          <w:color w:val="000000"/>
          <w:szCs w:val="24"/>
        </w:rPr>
        <w:tab/>
      </w:r>
      <w:r w:rsidRPr="00AE4FCC">
        <w:rPr>
          <w:color w:val="000000"/>
          <w:szCs w:val="24"/>
        </w:rPr>
        <w:tab/>
      </w:r>
      <w:r w:rsidRPr="00AE4FCC">
        <w:rPr>
          <w:color w:val="000000"/>
          <w:szCs w:val="24"/>
        </w:rPr>
        <w:tab/>
      </w:r>
      <w:r w:rsidRPr="00AE4FCC">
        <w:rPr>
          <w:color w:val="000000"/>
          <w:szCs w:val="24"/>
        </w:rPr>
        <w:tab/>
      </w:r>
      <w:r w:rsidRPr="00AE4FCC">
        <w:rPr>
          <w:color w:val="000000"/>
          <w:szCs w:val="24"/>
        </w:rPr>
        <w:tab/>
      </w:r>
      <w:r w:rsidRPr="00AE4FCC">
        <w:rPr>
          <w:color w:val="000000"/>
          <w:szCs w:val="24"/>
        </w:rPr>
        <w:tab/>
      </w:r>
      <w:r w:rsidRPr="00AE4FCC">
        <w:rPr>
          <w:color w:val="000000"/>
          <w:szCs w:val="24"/>
        </w:rPr>
        <w:tab/>
      </w:r>
    </w:p>
    <w:p w14:paraId="26FAA8F1" w14:textId="77777777" w:rsidR="00D65162"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lastRenderedPageBreak/>
        <w:t>Nuclear Weapons Policy and Star Wars</w:t>
      </w:r>
    </w:p>
    <w:p w14:paraId="792FE443" w14:textId="77777777" w:rsidR="00D65162"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The Supreme Court</w:t>
      </w:r>
    </w:p>
    <w:p w14:paraId="3D54DFD1"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Race Relations in History and Social Science</w:t>
      </w:r>
    </w:p>
    <w:p w14:paraId="7C1B29F7"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color w:val="000000"/>
          <w:szCs w:val="24"/>
        </w:rPr>
      </w:pPr>
    </w:p>
    <w:p w14:paraId="3925EF27"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color w:val="000000"/>
          <w:szCs w:val="24"/>
        </w:rPr>
      </w:pPr>
      <w:r w:rsidRPr="00AE4FCC">
        <w:rPr>
          <w:b/>
          <w:color w:val="000000"/>
          <w:szCs w:val="24"/>
        </w:rPr>
        <w:t>Graduate</w:t>
      </w:r>
    </w:p>
    <w:p w14:paraId="7F547FE9" w14:textId="77777777" w:rsidR="00D65162" w:rsidRPr="00AE4FCC" w:rsidRDefault="00D65162"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color w:val="000000"/>
          <w:szCs w:val="24"/>
        </w:rPr>
      </w:pPr>
    </w:p>
    <w:p w14:paraId="67BBF831" w14:textId="77777777" w:rsidR="00D65162"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color w:val="000000"/>
          <w:szCs w:val="24"/>
        </w:rPr>
      </w:pPr>
      <w:r w:rsidRPr="00AE4FCC">
        <w:rPr>
          <w:color w:val="000000"/>
          <w:szCs w:val="24"/>
        </w:rPr>
        <w:t>American Electoral Behavior</w:t>
      </w:r>
    </w:p>
    <w:p w14:paraId="312D5508" w14:textId="77777777" w:rsidR="00D65162"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color w:val="000000"/>
          <w:szCs w:val="24"/>
        </w:rPr>
      </w:pPr>
      <w:r w:rsidRPr="00AE4FCC">
        <w:rPr>
          <w:color w:val="000000"/>
          <w:szCs w:val="24"/>
        </w:rPr>
        <w:t>American Political Development</w:t>
      </w:r>
    </w:p>
    <w:p w14:paraId="3323D698" w14:textId="77777777" w:rsidR="00D65162"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color w:val="000000"/>
          <w:szCs w:val="24"/>
        </w:rPr>
      </w:pPr>
      <w:r w:rsidRPr="00AE4FCC">
        <w:rPr>
          <w:color w:val="000000"/>
          <w:szCs w:val="24"/>
        </w:rPr>
        <w:t>Race Relations in U.S. History</w:t>
      </w:r>
    </w:p>
    <w:p w14:paraId="00EC5206" w14:textId="77777777" w:rsidR="00D65162"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6480" w:hanging="6480"/>
        <w:rPr>
          <w:color w:val="000000"/>
          <w:szCs w:val="24"/>
        </w:rPr>
      </w:pPr>
      <w:r w:rsidRPr="00AE4FCC">
        <w:rPr>
          <w:color w:val="000000"/>
          <w:szCs w:val="24"/>
        </w:rPr>
        <w:t>Social Science History</w:t>
      </w:r>
      <w:r w:rsidRPr="00AE4FCC">
        <w:rPr>
          <w:color w:val="000000"/>
          <w:szCs w:val="24"/>
        </w:rPr>
        <w:tab/>
      </w:r>
      <w:r w:rsidRPr="00AE4FCC">
        <w:rPr>
          <w:color w:val="000000"/>
          <w:szCs w:val="24"/>
        </w:rPr>
        <w:tab/>
      </w:r>
      <w:r w:rsidRPr="00AE4FCC">
        <w:rPr>
          <w:color w:val="000000"/>
          <w:szCs w:val="24"/>
        </w:rPr>
        <w:tab/>
      </w:r>
      <w:r w:rsidRPr="00AE4FCC">
        <w:rPr>
          <w:color w:val="000000"/>
          <w:szCs w:val="24"/>
        </w:rPr>
        <w:tab/>
      </w:r>
      <w:r w:rsidRPr="00AE4FCC">
        <w:rPr>
          <w:color w:val="000000"/>
          <w:szCs w:val="24"/>
        </w:rPr>
        <w:tab/>
      </w:r>
      <w:r w:rsidRPr="00AE4FCC">
        <w:rPr>
          <w:color w:val="000000"/>
          <w:szCs w:val="24"/>
        </w:rPr>
        <w:tab/>
      </w:r>
    </w:p>
    <w:p w14:paraId="05136AA1" w14:textId="77777777" w:rsidR="00D65162"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color w:val="000000"/>
          <w:szCs w:val="24"/>
        </w:rPr>
      </w:pPr>
      <w:r w:rsidRPr="00AE4FCC">
        <w:rPr>
          <w:color w:val="000000"/>
          <w:szCs w:val="24"/>
        </w:rPr>
        <w:t>Topics in Econometrics</w:t>
      </w:r>
    </w:p>
    <w:p w14:paraId="54EE49AD"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color w:val="000000"/>
          <w:szCs w:val="24"/>
        </w:rPr>
      </w:pPr>
      <w:r w:rsidRPr="00AE4FCC">
        <w:rPr>
          <w:color w:val="000000"/>
          <w:szCs w:val="24"/>
        </w:rPr>
        <w:t>Writing for Social Scientists</w:t>
      </w:r>
    </w:p>
    <w:p w14:paraId="548D571C"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4D539EEB"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b/>
          <w:color w:val="000000"/>
          <w:szCs w:val="24"/>
        </w:rPr>
        <w:t>Ph.D. Theses Directed</w:t>
      </w:r>
    </w:p>
    <w:p w14:paraId="1C047DBB" w14:textId="77777777" w:rsidR="00D65162" w:rsidRPr="00AE4FCC" w:rsidRDefault="00D65162"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73583909"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Gary W. Cox, “Party and Constituency in Victorian Britain” (1982)</w:t>
      </w:r>
    </w:p>
    <w:p w14:paraId="1A9100C3" w14:textId="77777777" w:rsidR="00D65162" w:rsidRPr="00AE4FCC" w:rsidRDefault="00D65162"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p>
    <w:p w14:paraId="47D7014C"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Shawn Everett Kantor, “Politics and Property Rights: The Closing of the Open Range in the Postbellum South” (1991)</w:t>
      </w:r>
    </w:p>
    <w:p w14:paraId="1E598CE4" w14:textId="77777777" w:rsidR="00D65162" w:rsidRPr="00AE4FCC" w:rsidRDefault="00D65162"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6C7EB6DB"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Micah Altman, “Districting Principles and Democratic Representation” (1998)</w:t>
      </w:r>
    </w:p>
    <w:p w14:paraId="5439D9F5"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ab/>
      </w:r>
    </w:p>
    <w:p w14:paraId="4A6B6325" w14:textId="77777777" w:rsidR="00141B25" w:rsidRPr="00AE4FCC" w:rsidRDefault="00141B25"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14C765CD"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00"/>
        <w:contextualSpacing/>
        <w:jc w:val="center"/>
        <w:rPr>
          <w:color w:val="000000"/>
          <w:szCs w:val="24"/>
        </w:rPr>
      </w:pPr>
      <w:r w:rsidRPr="00AE4FCC">
        <w:rPr>
          <w:b/>
          <w:color w:val="000000"/>
          <w:szCs w:val="24"/>
        </w:rPr>
        <w:t>PAPERS AND LECTURES</w:t>
      </w:r>
    </w:p>
    <w:p w14:paraId="40991767"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00"/>
        <w:contextualSpacing/>
        <w:rPr>
          <w:color w:val="000000"/>
          <w:szCs w:val="24"/>
        </w:rPr>
      </w:pPr>
    </w:p>
    <w:p w14:paraId="4C23B185"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00"/>
        <w:contextualSpacing/>
        <w:rPr>
          <w:color w:val="000000"/>
          <w:szCs w:val="24"/>
        </w:rPr>
      </w:pPr>
      <w:r w:rsidRPr="00AE4FCC">
        <w:rPr>
          <w:b/>
          <w:color w:val="000000"/>
          <w:szCs w:val="24"/>
        </w:rPr>
        <w:t>Popular Writings</w:t>
      </w:r>
    </w:p>
    <w:p w14:paraId="105E12C3"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00"/>
        <w:contextualSpacing/>
        <w:rPr>
          <w:color w:val="000000"/>
          <w:szCs w:val="24"/>
        </w:rPr>
      </w:pPr>
    </w:p>
    <w:p w14:paraId="04027558"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“Voting Rights:</w:t>
      </w:r>
      <w:r w:rsidR="008F6761" w:rsidRPr="00AE4FCC">
        <w:rPr>
          <w:color w:val="000000"/>
          <w:szCs w:val="24"/>
        </w:rPr>
        <w:t xml:space="preserve"> </w:t>
      </w:r>
      <w:r w:rsidRPr="00AE4FCC">
        <w:rPr>
          <w:color w:val="000000"/>
          <w:szCs w:val="24"/>
        </w:rPr>
        <w:t>Yes ___ No ___ Maybe ___ Obstructionists Threaten to Undo 16 Years of Effort,”</w:t>
      </w:r>
      <w:r w:rsidR="008F6761" w:rsidRPr="00AE4FCC">
        <w:rPr>
          <w:color w:val="000000"/>
          <w:szCs w:val="24"/>
        </w:rPr>
        <w:t xml:space="preserve"> </w:t>
      </w:r>
      <w:r w:rsidRPr="00AE4FCC">
        <w:rPr>
          <w:i/>
          <w:color w:val="000000"/>
          <w:szCs w:val="24"/>
        </w:rPr>
        <w:t>Los Angeles Times</w:t>
      </w:r>
      <w:r w:rsidRPr="00AE4FCC">
        <w:rPr>
          <w:color w:val="000000"/>
          <w:szCs w:val="24"/>
        </w:rPr>
        <w:t>, February 7, 1982.</w:t>
      </w:r>
    </w:p>
    <w:p w14:paraId="6D5C74C7"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0EF8DEE5"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“Jim Crow in the Voting Booth,”</w:t>
      </w:r>
      <w:r w:rsidR="008F6761" w:rsidRPr="00AE4FCC">
        <w:rPr>
          <w:color w:val="000000"/>
          <w:szCs w:val="24"/>
        </w:rPr>
        <w:t xml:space="preserve"> </w:t>
      </w:r>
      <w:r w:rsidRPr="00AE4FCC">
        <w:rPr>
          <w:i/>
          <w:color w:val="000000"/>
          <w:szCs w:val="24"/>
        </w:rPr>
        <w:t>Los Angeles Times</w:t>
      </w:r>
      <w:r w:rsidRPr="00AE4FCC">
        <w:rPr>
          <w:color w:val="000000"/>
          <w:szCs w:val="24"/>
        </w:rPr>
        <w:t>, June 24, 1984.</w:t>
      </w:r>
    </w:p>
    <w:p w14:paraId="7C8BC08B"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18668E08"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“The District that Stretched Almost Anywhere but East,”</w:t>
      </w:r>
      <w:r w:rsidR="008F6761" w:rsidRPr="00AE4FCC">
        <w:rPr>
          <w:color w:val="000000"/>
          <w:szCs w:val="24"/>
        </w:rPr>
        <w:t xml:space="preserve"> </w:t>
      </w:r>
      <w:r w:rsidRPr="00AE4FCC">
        <w:rPr>
          <w:i/>
          <w:color w:val="000000"/>
          <w:szCs w:val="24"/>
        </w:rPr>
        <w:t>Los Angeles Times</w:t>
      </w:r>
      <w:r w:rsidRPr="00AE4FCC">
        <w:rPr>
          <w:color w:val="000000"/>
          <w:szCs w:val="24"/>
        </w:rPr>
        <w:t>, June 12, 1990.</w:t>
      </w:r>
    </w:p>
    <w:p w14:paraId="3163945C"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543F63E3"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“The Open Primary Will Ruin California Politics,”</w:t>
      </w:r>
      <w:r w:rsidR="008F6761" w:rsidRPr="00AE4FCC">
        <w:rPr>
          <w:color w:val="000000"/>
          <w:szCs w:val="24"/>
        </w:rPr>
        <w:t xml:space="preserve"> </w:t>
      </w:r>
      <w:r w:rsidRPr="00AE4FCC">
        <w:rPr>
          <w:i/>
          <w:color w:val="000000"/>
          <w:szCs w:val="24"/>
        </w:rPr>
        <w:t>Public Affairs Report</w:t>
      </w:r>
      <w:r w:rsidRPr="00AE4FCC">
        <w:rPr>
          <w:color w:val="000000"/>
          <w:szCs w:val="24"/>
        </w:rPr>
        <w:t xml:space="preserve">, May 1996, 7. </w:t>
      </w:r>
      <w:r w:rsidRPr="00AE4FCC">
        <w:rPr>
          <w:color w:val="000000"/>
          <w:szCs w:val="24"/>
        </w:rPr>
        <w:tab/>
      </w:r>
    </w:p>
    <w:p w14:paraId="1EE7ECD5" w14:textId="77777777" w:rsidR="00141B25" w:rsidRPr="00AE4FCC" w:rsidRDefault="00141B25"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p>
    <w:p w14:paraId="42757A66"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 xml:space="preserve">“Charges of bias way off target,” </w:t>
      </w:r>
      <w:r w:rsidRPr="00AE4FCC">
        <w:rPr>
          <w:i/>
          <w:color w:val="000000"/>
          <w:szCs w:val="24"/>
        </w:rPr>
        <w:t>Sacramento Bee</w:t>
      </w:r>
      <w:r w:rsidRPr="00AE4FCC">
        <w:rPr>
          <w:color w:val="000000"/>
          <w:szCs w:val="24"/>
        </w:rPr>
        <w:t>, Oct. 9, 1998, B9.</w:t>
      </w:r>
    </w:p>
    <w:p w14:paraId="2FE57EC9"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123DB5CC"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 xml:space="preserve">“How the Supreme Court Feeds a Rumor,” </w:t>
      </w:r>
      <w:r w:rsidRPr="00AE4FCC">
        <w:rPr>
          <w:i/>
          <w:color w:val="000000"/>
          <w:szCs w:val="24"/>
        </w:rPr>
        <w:t>Los Angeles Times</w:t>
      </w:r>
      <w:r w:rsidRPr="00AE4FCC">
        <w:rPr>
          <w:color w:val="000000"/>
          <w:szCs w:val="24"/>
        </w:rPr>
        <w:t>, Oct. 10, 1999, M2.</w:t>
      </w:r>
    </w:p>
    <w:p w14:paraId="6473FF3E"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5113C6D6"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 xml:space="preserve">“Revamping the Doctrine of Separate and Equal,” </w:t>
      </w:r>
      <w:r w:rsidRPr="00AE4FCC">
        <w:rPr>
          <w:i/>
          <w:color w:val="000000"/>
          <w:szCs w:val="24"/>
        </w:rPr>
        <w:t>Los Angeles Times</w:t>
      </w:r>
      <w:r w:rsidRPr="00AE4FCC">
        <w:rPr>
          <w:color w:val="000000"/>
          <w:szCs w:val="24"/>
        </w:rPr>
        <w:t>, March 26, 2000, M2.</w:t>
      </w:r>
    </w:p>
    <w:p w14:paraId="7EBFED5C"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2401D8A9"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lastRenderedPageBreak/>
        <w:t xml:space="preserve">Remarks at Lillian Smith Award Ceremony, </w:t>
      </w:r>
      <w:r w:rsidRPr="00AE4FCC">
        <w:rPr>
          <w:i/>
          <w:color w:val="000000"/>
          <w:szCs w:val="24"/>
        </w:rPr>
        <w:t>Southern Changes</w:t>
      </w:r>
      <w:r w:rsidRPr="00AE4FCC">
        <w:rPr>
          <w:color w:val="000000"/>
          <w:szCs w:val="24"/>
        </w:rPr>
        <w:t xml:space="preserve"> 21, #4</w:t>
      </w:r>
      <w:r w:rsidR="005E2E5E" w:rsidRPr="00AE4FCC">
        <w:rPr>
          <w:color w:val="000000"/>
          <w:szCs w:val="24"/>
        </w:rPr>
        <w:t xml:space="preserve">, </w:t>
      </w:r>
      <w:r w:rsidRPr="00AE4FCC">
        <w:rPr>
          <w:color w:val="000000"/>
          <w:szCs w:val="24"/>
        </w:rPr>
        <w:t>Winter 1999, 8-11.</w:t>
      </w:r>
    </w:p>
    <w:p w14:paraId="75E19725"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6A7058C8"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 xml:space="preserve">“The Duties of Historians,” debate on review of </w:t>
      </w:r>
      <w:r w:rsidRPr="00AE4FCC">
        <w:rPr>
          <w:i/>
          <w:color w:val="000000"/>
          <w:szCs w:val="24"/>
        </w:rPr>
        <w:t>Colorblind Injustice</w:t>
      </w:r>
      <w:r w:rsidRPr="00AE4FCC">
        <w:rPr>
          <w:color w:val="000000"/>
          <w:szCs w:val="24"/>
        </w:rPr>
        <w:t>, H-POL.</w:t>
      </w:r>
    </w:p>
    <w:p w14:paraId="730AD1B0"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011B2F66"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contextualSpacing/>
        <w:rPr>
          <w:color w:val="000000"/>
          <w:szCs w:val="24"/>
        </w:rPr>
      </w:pPr>
      <w:r w:rsidRPr="00AE4FCC">
        <w:rPr>
          <w:color w:val="000000"/>
          <w:szCs w:val="24"/>
        </w:rPr>
        <w:t xml:space="preserve">“The Supreme Court and the Undoing of the Second Reconstruction,” </w:t>
      </w:r>
      <w:r w:rsidRPr="00AE4FCC">
        <w:rPr>
          <w:i/>
          <w:color w:val="000000"/>
          <w:szCs w:val="24"/>
        </w:rPr>
        <w:t>National Forum</w:t>
      </w:r>
      <w:r w:rsidRPr="00AE4FCC">
        <w:rPr>
          <w:color w:val="000000"/>
          <w:szCs w:val="24"/>
        </w:rPr>
        <w:t>, 80, # 2</w:t>
      </w:r>
      <w:r w:rsidR="005E2E5E" w:rsidRPr="00AE4FCC">
        <w:rPr>
          <w:color w:val="000000"/>
          <w:szCs w:val="24"/>
        </w:rPr>
        <w:t>,</w:t>
      </w:r>
      <w:r w:rsidRPr="00AE4FCC">
        <w:rPr>
          <w:color w:val="000000"/>
          <w:szCs w:val="24"/>
        </w:rPr>
        <w:t xml:space="preserve"> Spring 2000, 25-31.</w:t>
      </w:r>
    </w:p>
    <w:p w14:paraId="0AF6033F"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1AE73B4B"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 xml:space="preserve">“Proposition 77: How It Would Really Work,” </w:t>
      </w:r>
      <w:r w:rsidRPr="00AE4FCC">
        <w:rPr>
          <w:i/>
          <w:color w:val="000000"/>
          <w:szCs w:val="24"/>
        </w:rPr>
        <w:t>San Diego Union-Tribune</w:t>
      </w:r>
      <w:r w:rsidRPr="00AE4FCC">
        <w:rPr>
          <w:color w:val="000000"/>
          <w:szCs w:val="24"/>
        </w:rPr>
        <w:t>, Oct. 31, 2005, p. B7.</w:t>
      </w:r>
    </w:p>
    <w:p w14:paraId="33DA5C17"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5B0BA426"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r w:rsidRPr="00AE4FCC">
        <w:rPr>
          <w:color w:val="000000"/>
          <w:szCs w:val="24"/>
        </w:rPr>
        <w:t xml:space="preserve">“Are </w:t>
      </w:r>
      <w:r w:rsidR="00141B25" w:rsidRPr="00AE4FCC">
        <w:rPr>
          <w:color w:val="000000"/>
          <w:szCs w:val="24"/>
        </w:rPr>
        <w:t>W</w:t>
      </w:r>
      <w:r w:rsidRPr="00AE4FCC">
        <w:rPr>
          <w:color w:val="000000"/>
          <w:szCs w:val="24"/>
        </w:rPr>
        <w:t xml:space="preserve">e </w:t>
      </w:r>
      <w:r w:rsidR="00141B25" w:rsidRPr="00AE4FCC">
        <w:rPr>
          <w:color w:val="000000"/>
          <w:szCs w:val="24"/>
        </w:rPr>
        <w:t>B</w:t>
      </w:r>
      <w:r w:rsidRPr="00AE4FCC">
        <w:rPr>
          <w:color w:val="000000"/>
          <w:szCs w:val="24"/>
        </w:rPr>
        <w:t xml:space="preserve">etter </w:t>
      </w:r>
      <w:r w:rsidR="00141B25" w:rsidRPr="00AE4FCC">
        <w:rPr>
          <w:color w:val="000000"/>
          <w:szCs w:val="24"/>
        </w:rPr>
        <w:t>O</w:t>
      </w:r>
      <w:r w:rsidRPr="00AE4FCC">
        <w:rPr>
          <w:color w:val="000000"/>
          <w:szCs w:val="24"/>
        </w:rPr>
        <w:t xml:space="preserve">ff </w:t>
      </w:r>
      <w:r w:rsidR="00141B25" w:rsidRPr="00AE4FCC">
        <w:rPr>
          <w:color w:val="000000"/>
          <w:szCs w:val="24"/>
        </w:rPr>
        <w:t>R</w:t>
      </w:r>
      <w:r w:rsidRPr="00AE4FCC">
        <w:rPr>
          <w:color w:val="000000"/>
          <w:szCs w:val="24"/>
        </w:rPr>
        <w:t xml:space="preserve">edistricting by </w:t>
      </w:r>
      <w:r w:rsidR="00141B25" w:rsidRPr="00AE4FCC">
        <w:rPr>
          <w:color w:val="000000"/>
          <w:szCs w:val="24"/>
        </w:rPr>
        <w:t>Ci</w:t>
      </w:r>
      <w:r w:rsidRPr="00AE4FCC">
        <w:rPr>
          <w:color w:val="000000"/>
          <w:szCs w:val="24"/>
        </w:rPr>
        <w:t xml:space="preserve">tizen </w:t>
      </w:r>
      <w:r w:rsidR="00141B25" w:rsidRPr="00AE4FCC">
        <w:rPr>
          <w:color w:val="000000"/>
          <w:szCs w:val="24"/>
        </w:rPr>
        <w:t>P</w:t>
      </w:r>
      <w:r w:rsidRPr="00AE4FCC">
        <w:rPr>
          <w:color w:val="000000"/>
          <w:szCs w:val="24"/>
        </w:rPr>
        <w:t xml:space="preserve">anel?” </w:t>
      </w:r>
      <w:r w:rsidRPr="00AE4FCC">
        <w:rPr>
          <w:i/>
          <w:color w:val="000000"/>
          <w:szCs w:val="24"/>
        </w:rPr>
        <w:t>San Francisco Chronicle</w:t>
      </w:r>
      <w:r w:rsidRPr="00AE4FCC">
        <w:rPr>
          <w:color w:val="000000"/>
          <w:szCs w:val="24"/>
        </w:rPr>
        <w:t>, Nov. 13, 2011.</w:t>
      </w:r>
    </w:p>
    <w:p w14:paraId="68A53A6E"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rPr>
          <w:color w:val="000000"/>
          <w:szCs w:val="24"/>
        </w:rPr>
      </w:pPr>
    </w:p>
    <w:p w14:paraId="25BF706B"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“The Strong Case for Keeping Section 5,”</w:t>
      </w:r>
      <w:r w:rsidR="00141B25" w:rsidRPr="00AE4FCC">
        <w:rPr>
          <w:color w:val="000000"/>
          <w:szCs w:val="24"/>
        </w:rPr>
        <w:t xml:space="preserve"> </w:t>
      </w:r>
      <w:r w:rsidR="00141B25" w:rsidRPr="00AE4FCC">
        <w:rPr>
          <w:i/>
          <w:iCs/>
          <w:color w:val="000000"/>
          <w:szCs w:val="24"/>
        </w:rPr>
        <w:t>Reuters</w:t>
      </w:r>
      <w:r w:rsidR="00141B25" w:rsidRPr="00AE4FCC">
        <w:rPr>
          <w:color w:val="000000"/>
          <w:szCs w:val="24"/>
        </w:rPr>
        <w:t>, Feb. 15, 2003,</w:t>
      </w:r>
      <w:r w:rsidRPr="00AE4FCC">
        <w:rPr>
          <w:color w:val="000000"/>
          <w:szCs w:val="24"/>
        </w:rPr>
        <w:t xml:space="preserve"> </w:t>
      </w:r>
      <w:hyperlink r:id="rId15" w:history="1">
        <w:r w:rsidR="00141B25" w:rsidRPr="00AE4FCC">
          <w:rPr>
            <w:rStyle w:val="Hyperlink"/>
            <w:szCs w:val="24"/>
          </w:rPr>
          <w:t>http://blogs.reuters.com/great-debate/2013/02/15/the-strong-case-for-keeping-section-5/</w:t>
        </w:r>
      </w:hyperlink>
      <w:r w:rsidR="00141B25" w:rsidRPr="00AE4FCC">
        <w:rPr>
          <w:color w:val="000000"/>
          <w:szCs w:val="24"/>
        </w:rPr>
        <w:t xml:space="preserve">. </w:t>
      </w:r>
    </w:p>
    <w:p w14:paraId="3C488646"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4553F742"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 xml:space="preserve">“Gutting the </w:t>
      </w:r>
      <w:r w:rsidR="00141B25" w:rsidRPr="00AE4FCC">
        <w:rPr>
          <w:color w:val="000000"/>
          <w:szCs w:val="24"/>
        </w:rPr>
        <w:t>L</w:t>
      </w:r>
      <w:r w:rsidRPr="00AE4FCC">
        <w:rPr>
          <w:color w:val="000000"/>
          <w:szCs w:val="24"/>
        </w:rPr>
        <w:t xml:space="preserve">andmark </w:t>
      </w:r>
      <w:r w:rsidR="00141B25" w:rsidRPr="00AE4FCC">
        <w:rPr>
          <w:color w:val="000000"/>
          <w:szCs w:val="24"/>
        </w:rPr>
        <w:t>C</w:t>
      </w:r>
      <w:r w:rsidRPr="00AE4FCC">
        <w:rPr>
          <w:color w:val="000000"/>
          <w:szCs w:val="24"/>
        </w:rPr>
        <w:t xml:space="preserve">ivil </w:t>
      </w:r>
      <w:r w:rsidR="00141B25" w:rsidRPr="00AE4FCC">
        <w:rPr>
          <w:color w:val="000000"/>
          <w:szCs w:val="24"/>
        </w:rPr>
        <w:t>R</w:t>
      </w:r>
      <w:r w:rsidRPr="00AE4FCC">
        <w:rPr>
          <w:color w:val="000000"/>
          <w:szCs w:val="24"/>
        </w:rPr>
        <w:t xml:space="preserve">ights </w:t>
      </w:r>
      <w:r w:rsidR="00141B25" w:rsidRPr="00AE4FCC">
        <w:rPr>
          <w:color w:val="000000"/>
          <w:szCs w:val="24"/>
        </w:rPr>
        <w:t>L</w:t>
      </w:r>
      <w:r w:rsidRPr="00AE4FCC">
        <w:rPr>
          <w:color w:val="000000"/>
          <w:szCs w:val="24"/>
        </w:rPr>
        <w:t>egislation</w:t>
      </w:r>
      <w:r w:rsidR="00141B25" w:rsidRPr="00AE4FCC">
        <w:rPr>
          <w:color w:val="000000"/>
          <w:szCs w:val="24"/>
        </w:rPr>
        <w:t>,</w:t>
      </w:r>
      <w:r w:rsidRPr="00AE4FCC">
        <w:rPr>
          <w:color w:val="000000"/>
          <w:szCs w:val="24"/>
        </w:rPr>
        <w:t>”</w:t>
      </w:r>
      <w:r w:rsidR="00141B25" w:rsidRPr="00AE4FCC">
        <w:rPr>
          <w:color w:val="000000"/>
          <w:szCs w:val="24"/>
        </w:rPr>
        <w:t xml:space="preserve"> </w:t>
      </w:r>
      <w:r w:rsidR="00141B25" w:rsidRPr="00AE4FCC">
        <w:rPr>
          <w:i/>
          <w:iCs/>
          <w:color w:val="000000"/>
          <w:szCs w:val="24"/>
        </w:rPr>
        <w:t>Reuters</w:t>
      </w:r>
      <w:r w:rsidR="00141B25" w:rsidRPr="00AE4FCC">
        <w:rPr>
          <w:color w:val="000000"/>
          <w:szCs w:val="24"/>
        </w:rPr>
        <w:t xml:space="preserve">, June 26, 2013, </w:t>
      </w:r>
      <w:hyperlink r:id="rId16" w:history="1">
        <w:r w:rsidR="00141B25" w:rsidRPr="00AE4FCC">
          <w:rPr>
            <w:rStyle w:val="Hyperlink"/>
            <w:szCs w:val="24"/>
          </w:rPr>
          <w:t>http://blogs.reuters.com/great-debate/2013/06/26/gutting-the-landmark-civil-rights-legislation/</w:t>
        </w:r>
      </w:hyperlink>
      <w:r w:rsidR="00141B25" w:rsidRPr="00AE4FCC">
        <w:rPr>
          <w:color w:val="000000"/>
          <w:szCs w:val="24"/>
        </w:rPr>
        <w:t xml:space="preserve">. </w:t>
      </w:r>
    </w:p>
    <w:p w14:paraId="414171EC"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06BC4780"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jc w:val="center"/>
        <w:rPr>
          <w:color w:val="000000"/>
          <w:szCs w:val="24"/>
        </w:rPr>
      </w:pPr>
      <w:r w:rsidRPr="00AE4FCC">
        <w:rPr>
          <w:b/>
          <w:color w:val="000000"/>
          <w:szCs w:val="24"/>
        </w:rPr>
        <w:t>INVITED LECTURES</w:t>
      </w:r>
    </w:p>
    <w:p w14:paraId="000FA809"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73AE0D06"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b/>
          <w:color w:val="000000"/>
          <w:szCs w:val="24"/>
        </w:rPr>
        <w:t>Universities (American)</w:t>
      </w:r>
    </w:p>
    <w:p w14:paraId="7736A261"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06004CD1"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University of Pennsylvania (1976)</w:t>
      </w:r>
    </w:p>
    <w:p w14:paraId="548F9EDA"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California State University at Los Angeles (1977)</w:t>
      </w:r>
    </w:p>
    <w:p w14:paraId="24CE027D"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Harvard University (1978)</w:t>
      </w:r>
    </w:p>
    <w:p w14:paraId="0E424177"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Duke University Law School (1979)</w:t>
      </w:r>
    </w:p>
    <w:p w14:paraId="1ED633B8"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Michigan State University (1980)</w:t>
      </w:r>
    </w:p>
    <w:p w14:paraId="1A8AEA3F"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University of California, Santa Barbara (1980, 1984)</w:t>
      </w:r>
    </w:p>
    <w:p w14:paraId="5E49228A"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University of Chicago (1980, 1984)</w:t>
      </w:r>
    </w:p>
    <w:p w14:paraId="36BEF60E"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University of Michigan (1980)</w:t>
      </w:r>
    </w:p>
    <w:p w14:paraId="56F23C78"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University of California, Irvine (1981)</w:t>
      </w:r>
    </w:p>
    <w:p w14:paraId="2606A914"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University of Alabama at Birmingham (1981)</w:t>
      </w:r>
    </w:p>
    <w:p w14:paraId="689123CD"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Brandeis University (1981)</w:t>
      </w:r>
    </w:p>
    <w:p w14:paraId="231770E0"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California State University, Fullerton (1982)</w:t>
      </w:r>
    </w:p>
    <w:p w14:paraId="55520F73"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University of California, Los Angeles (1981, 1983, 1988, 1993)</w:t>
      </w:r>
    </w:p>
    <w:p w14:paraId="482792F5"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University of Miami (1983)</w:t>
      </w:r>
    </w:p>
    <w:p w14:paraId="313D9539"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Claremont-McKenna College (1984)</w:t>
      </w:r>
    </w:p>
    <w:p w14:paraId="22928BD8"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University of Maryland, College Park (1985)</w:t>
      </w:r>
    </w:p>
    <w:p w14:paraId="6B0B92AA"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University of Maryland, Baltimore County (1985)</w:t>
      </w:r>
    </w:p>
    <w:p w14:paraId="3606829D"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New School for Social Research (1986)</w:t>
      </w:r>
    </w:p>
    <w:p w14:paraId="32CD8871"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University of Dayton (1986)</w:t>
      </w:r>
    </w:p>
    <w:p w14:paraId="11F834DD"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Ohio State University (1987)</w:t>
      </w:r>
    </w:p>
    <w:p w14:paraId="7A10C5A4"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Albany Law School (1988)</w:t>
      </w:r>
    </w:p>
    <w:p w14:paraId="707B3018"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lastRenderedPageBreak/>
        <w:t>University of Texas, Austin (1988)</w:t>
      </w:r>
    </w:p>
    <w:p w14:paraId="40F0EAF3"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Stanford University (1990, 1999</w:t>
      </w:r>
      <w:r w:rsidR="009243A0" w:rsidRPr="00AE4FCC">
        <w:rPr>
          <w:color w:val="000000"/>
          <w:szCs w:val="24"/>
        </w:rPr>
        <w:t>, 2016</w:t>
      </w:r>
      <w:r w:rsidRPr="00AE4FCC">
        <w:rPr>
          <w:color w:val="000000"/>
          <w:szCs w:val="24"/>
        </w:rPr>
        <w:t>)</w:t>
      </w:r>
    </w:p>
    <w:p w14:paraId="75724B35" w14:textId="76E2A1B8"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Univ. of CA, Berkeley (1991, 1999</w:t>
      </w:r>
      <w:r w:rsidR="00A55224">
        <w:rPr>
          <w:color w:val="000000"/>
          <w:szCs w:val="24"/>
        </w:rPr>
        <w:t>, 2020</w:t>
      </w:r>
      <w:r w:rsidRPr="00AE4FCC">
        <w:rPr>
          <w:color w:val="000000"/>
          <w:szCs w:val="24"/>
        </w:rPr>
        <w:t>)</w:t>
      </w:r>
    </w:p>
    <w:p w14:paraId="3CBC35C7"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Univ. of CA, San Diego (1991, 2000</w:t>
      </w:r>
      <w:r w:rsidR="009243A0" w:rsidRPr="00AE4FCC">
        <w:rPr>
          <w:color w:val="000000"/>
          <w:szCs w:val="24"/>
        </w:rPr>
        <w:t>, 2016</w:t>
      </w:r>
      <w:r w:rsidRPr="00AE4FCC">
        <w:rPr>
          <w:color w:val="000000"/>
          <w:szCs w:val="24"/>
        </w:rPr>
        <w:t>)</w:t>
      </w:r>
    </w:p>
    <w:p w14:paraId="1B67E125"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Claremont Graduate School (1993)</w:t>
      </w:r>
    </w:p>
    <w:p w14:paraId="7B3517B6"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Northwestern University Law School (1993)</w:t>
      </w:r>
    </w:p>
    <w:p w14:paraId="3EDBA810"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Rutgers Law School, Camden (1993)</w:t>
      </w:r>
    </w:p>
    <w:p w14:paraId="0BCB4CE6"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Georgetown Law Center (1994)</w:t>
      </w:r>
    </w:p>
    <w:p w14:paraId="1151DA4A"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C. Vann Woodward Lecture, Henderson State College (1994)</w:t>
      </w:r>
    </w:p>
    <w:p w14:paraId="0C300E58"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Yale University (1994)</w:t>
      </w:r>
    </w:p>
    <w:p w14:paraId="2AA3080F" w14:textId="0988AD53"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American U. Law School (1994</w:t>
      </w:r>
      <w:r w:rsidR="00A415DE">
        <w:rPr>
          <w:color w:val="000000"/>
          <w:szCs w:val="24"/>
        </w:rPr>
        <w:t>, 2022</w:t>
      </w:r>
      <w:r w:rsidRPr="00AE4FCC">
        <w:rPr>
          <w:color w:val="000000"/>
          <w:szCs w:val="24"/>
        </w:rPr>
        <w:t>)</w:t>
      </w:r>
    </w:p>
    <w:p w14:paraId="4B78E2DE"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Univ. of Michigan Law School (1996, 1998)</w:t>
      </w:r>
    </w:p>
    <w:p w14:paraId="77A43A0F" w14:textId="0E7515FA"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Univ. of Southern California Law School (1996</w:t>
      </w:r>
      <w:r w:rsidR="000B2D31" w:rsidRPr="00AE4FCC">
        <w:rPr>
          <w:color w:val="000000"/>
          <w:szCs w:val="24"/>
        </w:rPr>
        <w:t>, 2018</w:t>
      </w:r>
      <w:r w:rsidR="00A55224">
        <w:rPr>
          <w:color w:val="000000"/>
          <w:szCs w:val="24"/>
        </w:rPr>
        <w:t>, 2020</w:t>
      </w:r>
      <w:r w:rsidRPr="00AE4FCC">
        <w:rPr>
          <w:color w:val="000000"/>
          <w:szCs w:val="24"/>
        </w:rPr>
        <w:t>)</w:t>
      </w:r>
    </w:p>
    <w:p w14:paraId="7254425D" w14:textId="5EEBC3A2"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Univ. of CA, Los Angeles School of Law (1994, 1996, 1999</w:t>
      </w:r>
      <w:r w:rsidR="00A415DE">
        <w:rPr>
          <w:color w:val="000000"/>
          <w:szCs w:val="24"/>
        </w:rPr>
        <w:t>, 2010</w:t>
      </w:r>
      <w:r w:rsidRPr="00AE4FCC">
        <w:rPr>
          <w:color w:val="000000"/>
          <w:szCs w:val="24"/>
        </w:rPr>
        <w:t>)</w:t>
      </w:r>
    </w:p>
    <w:p w14:paraId="2582DFCD"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CA State Univ., San Bernardino (1999)</w:t>
      </w:r>
    </w:p>
    <w:p w14:paraId="28D0723F"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Harvard Univ., Du Bois Center (1999, 2000, 2001)</w:t>
      </w:r>
    </w:p>
    <w:p w14:paraId="5FBBAC42"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Augusta State University (1999)</w:t>
      </w:r>
    </w:p>
    <w:p w14:paraId="3DCC43DB"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Paine College (1999)</w:t>
      </w:r>
    </w:p>
    <w:p w14:paraId="60540744" w14:textId="77777777" w:rsidR="00925FF7" w:rsidRPr="00AE4FCC" w:rsidRDefault="00925FF7"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University of Kansas (2015)</w:t>
      </w:r>
    </w:p>
    <w:p w14:paraId="12A7AC53"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 xml:space="preserve">University of </w:t>
      </w:r>
      <w:proofErr w:type="spellStart"/>
      <w:r w:rsidRPr="00AE4FCC">
        <w:rPr>
          <w:color w:val="000000"/>
          <w:szCs w:val="24"/>
        </w:rPr>
        <w:t>LaVerne</w:t>
      </w:r>
      <w:proofErr w:type="spellEnd"/>
      <w:r w:rsidRPr="00AE4FCC">
        <w:rPr>
          <w:color w:val="000000"/>
          <w:szCs w:val="24"/>
        </w:rPr>
        <w:t xml:space="preserve"> (2000)</w:t>
      </w:r>
    </w:p>
    <w:p w14:paraId="458A9FDA"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University of Montana (2004)</w:t>
      </w:r>
    </w:p>
    <w:p w14:paraId="722354C5"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University of Texas, Austin, Law School (2004)</w:t>
      </w:r>
    </w:p>
    <w:p w14:paraId="5077FCF5"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University of Texas, San Antonio (2004, 2005)</w:t>
      </w:r>
    </w:p>
    <w:p w14:paraId="2630125B"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University of North Carolina, Chapel Hill, Law School (2006)</w:t>
      </w:r>
    </w:p>
    <w:p w14:paraId="1D3CEE40"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University of Texas, Austin (2006)</w:t>
      </w:r>
    </w:p>
    <w:p w14:paraId="458CC1C6"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Duke University (2006)</w:t>
      </w:r>
    </w:p>
    <w:p w14:paraId="43F2AF6F"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Whittier Law School (2006)</w:t>
      </w:r>
    </w:p>
    <w:p w14:paraId="5040FB62"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Indiana University School of Law (2009)</w:t>
      </w:r>
    </w:p>
    <w:p w14:paraId="4AD443B7" w14:textId="77777777" w:rsidR="003247DD" w:rsidRPr="00AE4FCC" w:rsidRDefault="003247DD"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Hong Kong University of Science and Technology (2014)</w:t>
      </w:r>
    </w:p>
    <w:p w14:paraId="66ED7C92" w14:textId="305396E4" w:rsidR="009243A0" w:rsidRDefault="009243A0"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Caltech (2016</w:t>
      </w:r>
      <w:r w:rsidR="00A55224">
        <w:rPr>
          <w:color w:val="000000"/>
          <w:szCs w:val="24"/>
        </w:rPr>
        <w:t>, 2020</w:t>
      </w:r>
      <w:r w:rsidR="00A415DE">
        <w:rPr>
          <w:color w:val="000000"/>
          <w:szCs w:val="24"/>
        </w:rPr>
        <w:t>, 2022</w:t>
      </w:r>
      <w:r w:rsidRPr="00AE4FCC">
        <w:rPr>
          <w:color w:val="000000"/>
          <w:szCs w:val="24"/>
        </w:rPr>
        <w:t>)</w:t>
      </w:r>
    </w:p>
    <w:p w14:paraId="11612057" w14:textId="62E61BDC" w:rsidR="00A55224" w:rsidRPr="00AE4FCC" w:rsidRDefault="00A55224"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Pr>
          <w:color w:val="000000"/>
          <w:szCs w:val="24"/>
        </w:rPr>
        <w:t>University of California at San Francisco (2020)</w:t>
      </w:r>
    </w:p>
    <w:p w14:paraId="3FD0D796"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b/>
      </w:r>
      <w:r w:rsidRPr="00AE4FCC">
        <w:rPr>
          <w:color w:val="000000"/>
          <w:szCs w:val="24"/>
        </w:rPr>
        <w:tab/>
      </w:r>
      <w:r w:rsidRPr="00AE4FCC">
        <w:rPr>
          <w:color w:val="000000"/>
          <w:szCs w:val="24"/>
        </w:rPr>
        <w:tab/>
      </w:r>
      <w:r w:rsidRPr="00AE4FCC">
        <w:rPr>
          <w:color w:val="000000"/>
          <w:szCs w:val="24"/>
        </w:rPr>
        <w:tab/>
      </w:r>
    </w:p>
    <w:p w14:paraId="49EB7A92"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b/>
          <w:color w:val="000000"/>
          <w:szCs w:val="24"/>
        </w:rPr>
      </w:pPr>
      <w:r w:rsidRPr="00AE4FCC">
        <w:rPr>
          <w:b/>
          <w:color w:val="000000"/>
          <w:szCs w:val="24"/>
        </w:rPr>
        <w:t>Universities (English)</w:t>
      </w:r>
    </w:p>
    <w:p w14:paraId="69CA0E26" w14:textId="77777777" w:rsidR="00557414" w:rsidRPr="00AE4FCC" w:rsidRDefault="00557414"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078DC337"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Oxford University (1984, 1985)</w:t>
      </w:r>
    </w:p>
    <w:p w14:paraId="6486CEAC"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Cambridge University (1984, 2009)</w:t>
      </w:r>
    </w:p>
    <w:p w14:paraId="22B39772"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University of Leeds (1985)</w:t>
      </w:r>
    </w:p>
    <w:p w14:paraId="5EC5A6A9"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University of East Anglia (1985)</w:t>
      </w:r>
    </w:p>
    <w:p w14:paraId="5F978EB7"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East Anglia University (1985)</w:t>
      </w:r>
    </w:p>
    <w:p w14:paraId="544ADCD8"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Southampton University (1985)</w:t>
      </w:r>
    </w:p>
    <w:p w14:paraId="5707268E"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Warwick (1985)</w:t>
      </w:r>
    </w:p>
    <w:p w14:paraId="485EF87E"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Sussex, Keele (1985)</w:t>
      </w:r>
    </w:p>
    <w:p w14:paraId="7E6FCA9E" w14:textId="77777777" w:rsidR="00BD6321" w:rsidRPr="00AE4FCC" w:rsidRDefault="00BD6321" w:rsidP="00D651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21BD0F3A"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after="100" w:afterAutospacing="1"/>
        <w:contextualSpacing/>
        <w:jc w:val="center"/>
        <w:rPr>
          <w:color w:val="000000"/>
          <w:szCs w:val="24"/>
        </w:rPr>
      </w:pPr>
      <w:r w:rsidRPr="00AE4FCC">
        <w:rPr>
          <w:b/>
          <w:color w:val="000000"/>
          <w:szCs w:val="24"/>
        </w:rPr>
        <w:t>CONVENTIONS</w:t>
      </w:r>
    </w:p>
    <w:p w14:paraId="6CFDF969" w14:textId="77777777" w:rsidR="00D65162" w:rsidRPr="00AE4FCC" w:rsidRDefault="00D65162"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after="100" w:afterAutospacing="1"/>
        <w:contextualSpacing/>
        <w:rPr>
          <w:b/>
          <w:color w:val="000000"/>
          <w:szCs w:val="24"/>
        </w:rPr>
      </w:pPr>
    </w:p>
    <w:p w14:paraId="66562D13"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after="100" w:afterAutospacing="1"/>
        <w:contextualSpacing/>
        <w:rPr>
          <w:color w:val="000000"/>
          <w:szCs w:val="24"/>
        </w:rPr>
      </w:pPr>
      <w:r w:rsidRPr="00AE4FCC">
        <w:rPr>
          <w:b/>
          <w:color w:val="000000"/>
          <w:szCs w:val="24"/>
        </w:rPr>
        <w:t>Papers Delivered</w:t>
      </w:r>
    </w:p>
    <w:p w14:paraId="130C1C87"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after="100" w:afterAutospacing="1"/>
        <w:contextualSpacing/>
        <w:rPr>
          <w:color w:val="000000"/>
          <w:szCs w:val="24"/>
        </w:rPr>
      </w:pPr>
    </w:p>
    <w:p w14:paraId="52AF2CBA"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American Historical Association (1974, 1976, 1988</w:t>
      </w:r>
      <w:r w:rsidR="00B728E1" w:rsidRPr="00AE4FCC">
        <w:rPr>
          <w:color w:val="000000"/>
          <w:szCs w:val="24"/>
        </w:rPr>
        <w:t>, 2015</w:t>
      </w:r>
      <w:r w:rsidR="003157E7" w:rsidRPr="00AE4FCC">
        <w:rPr>
          <w:color w:val="000000"/>
          <w:szCs w:val="24"/>
        </w:rPr>
        <w:t>, 2017</w:t>
      </w:r>
      <w:r w:rsidRPr="00AE4FCC">
        <w:rPr>
          <w:color w:val="000000"/>
          <w:szCs w:val="24"/>
        </w:rPr>
        <w:t>)</w:t>
      </w:r>
    </w:p>
    <w:p w14:paraId="2553B290"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16F613BC"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Social Science History Association (1976, 1978, 1980, 1981, 1983, 1987,</w:t>
      </w:r>
    </w:p>
    <w:p w14:paraId="795FC978" w14:textId="4F1BBAE3"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b/>
        <w:t>1989, 1991, 1993, 1994, 1995, 1996, 1997, 2000, 2004</w:t>
      </w:r>
      <w:r w:rsidR="00B33038">
        <w:rPr>
          <w:color w:val="000000"/>
          <w:szCs w:val="24"/>
        </w:rPr>
        <w:t>, 2022</w:t>
      </w:r>
      <w:r w:rsidRPr="00AE4FCC">
        <w:rPr>
          <w:color w:val="000000"/>
          <w:szCs w:val="24"/>
        </w:rPr>
        <w:t>)</w:t>
      </w:r>
    </w:p>
    <w:p w14:paraId="6AC0E6F2"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0568B08D"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Southern Historical Association (1978, 1980, 1992, 2005, 2012)</w:t>
      </w:r>
    </w:p>
    <w:p w14:paraId="1C49D483"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576A5D69"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Organization of American Historians (1981, 1984, 1986, 1990)</w:t>
      </w:r>
    </w:p>
    <w:p w14:paraId="268E6B59"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40B905E1"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International Conference on Quantitative History (1982)</w:t>
      </w:r>
    </w:p>
    <w:p w14:paraId="15236CB2"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0B0DA7FB"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Association of American Law Schools (1983)</w:t>
      </w:r>
    </w:p>
    <w:p w14:paraId="25F20E52"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521C13DD"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Joint Center for Political Studies Forum on Run-Off Primaries (1984)</w:t>
      </w:r>
    </w:p>
    <w:p w14:paraId="1A32E858"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2E083064"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16th International Congress of Historical Sciences, Stuttgart, Germany (1985)</w:t>
      </w:r>
    </w:p>
    <w:p w14:paraId="0B353D8E"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left="7920" w:hanging="7920"/>
        <w:contextualSpacing/>
        <w:rPr>
          <w:color w:val="000000"/>
          <w:szCs w:val="24"/>
        </w:rPr>
      </w:pPr>
    </w:p>
    <w:p w14:paraId="1487202B"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left="7920" w:hanging="7920"/>
        <w:contextualSpacing/>
        <w:rPr>
          <w:color w:val="000000"/>
          <w:szCs w:val="24"/>
        </w:rPr>
      </w:pPr>
      <w:r w:rsidRPr="00AE4FCC">
        <w:rPr>
          <w:color w:val="000000"/>
          <w:szCs w:val="24"/>
        </w:rPr>
        <w:t>Brookings Institution Conference on the 25th Anniversary of the Voting</w:t>
      </w:r>
      <w:r w:rsidRPr="00AE4FCC">
        <w:rPr>
          <w:color w:val="000000"/>
          <w:szCs w:val="24"/>
        </w:rPr>
        <w:tab/>
      </w:r>
      <w:r w:rsidRPr="00AE4FCC">
        <w:rPr>
          <w:color w:val="000000"/>
          <w:szCs w:val="24"/>
        </w:rPr>
        <w:tab/>
      </w:r>
    </w:p>
    <w:p w14:paraId="1EE9D236"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b/>
        <w:t>Rights Act (1990)</w:t>
      </w:r>
    </w:p>
    <w:p w14:paraId="0B322B20"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1EAD255F"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Continuing Legal Education Conference, Los Angeles (1990)</w:t>
      </w:r>
    </w:p>
    <w:p w14:paraId="737F7092"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7B0E80AE"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Voting Rights Symposium, University of San Francisco Law School (1992)</w:t>
      </w:r>
    </w:p>
    <w:p w14:paraId="766B85EC"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15FDB289"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California Studies Association Convention (1994)</w:t>
      </w:r>
    </w:p>
    <w:p w14:paraId="40B6F8BA"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4670D1EF"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Midwest Political Science Association (1997, 2004)</w:t>
      </w:r>
    </w:p>
    <w:p w14:paraId="713299E9"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3D47628D"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USC/Caltech Conference, “Election Reform: 2000 and Beyond” (2001)</w:t>
      </w:r>
    </w:p>
    <w:p w14:paraId="769C8C11"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left="720" w:hanging="720"/>
        <w:contextualSpacing/>
        <w:rPr>
          <w:color w:val="000000"/>
          <w:szCs w:val="24"/>
        </w:rPr>
      </w:pPr>
    </w:p>
    <w:p w14:paraId="6EB66800"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left="720" w:hanging="720"/>
        <w:contextualSpacing/>
        <w:rPr>
          <w:color w:val="000000"/>
          <w:szCs w:val="24"/>
        </w:rPr>
      </w:pPr>
      <w:r w:rsidRPr="00AE4FCC">
        <w:rPr>
          <w:color w:val="000000"/>
          <w:szCs w:val="24"/>
        </w:rPr>
        <w:t>NAACP/MALDEF/APLAC Conference, “Making Our Communities Count: United for a Fair Redistricting Process” (2001)</w:t>
      </w:r>
    </w:p>
    <w:p w14:paraId="66C0C3B4"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0C20CC67"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AALS/APSA Conference on Constitutional Law (2002)</w:t>
      </w:r>
    </w:p>
    <w:p w14:paraId="614E3022"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0F996258"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“The Future of the Voting Rights Act” (Columbia University Law School, 2003)</w:t>
      </w:r>
    </w:p>
    <w:p w14:paraId="0A5E8338"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66DCA620"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lastRenderedPageBreak/>
        <w:t>American Society of Legal History (2003)</w:t>
      </w:r>
    </w:p>
    <w:p w14:paraId="39DE0EF7"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16F0DE71"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American Political Science Association (2004</w:t>
      </w:r>
      <w:r w:rsidR="000B2D31" w:rsidRPr="00AE4FCC">
        <w:rPr>
          <w:color w:val="000000"/>
          <w:szCs w:val="24"/>
        </w:rPr>
        <w:t>, 2018</w:t>
      </w:r>
      <w:r w:rsidRPr="00AE4FCC">
        <w:rPr>
          <w:color w:val="000000"/>
          <w:szCs w:val="24"/>
        </w:rPr>
        <w:t>)</w:t>
      </w:r>
    </w:p>
    <w:p w14:paraId="31925E2F"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5733EF57" w14:textId="77777777" w:rsidR="0009635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 xml:space="preserve">“Who Draws the Lines: The Consequences of Redistricting Reform for Minority Voters” </w:t>
      </w:r>
    </w:p>
    <w:p w14:paraId="7E71B445" w14:textId="77777777" w:rsidR="00BD6321" w:rsidRPr="00AE4FCC" w:rsidRDefault="0009635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b/>
      </w:r>
      <w:r w:rsidR="00BD6321" w:rsidRPr="00AE4FCC">
        <w:rPr>
          <w:color w:val="000000"/>
          <w:szCs w:val="24"/>
        </w:rPr>
        <w:t>(University of North Carolina, 2006)</w:t>
      </w:r>
    </w:p>
    <w:p w14:paraId="6B1DA8D6"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6BE2F7A0" w14:textId="77777777" w:rsidR="0009635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“Whither the Voting Rights Act?</w:t>
      </w:r>
      <w:r w:rsidR="008F6761" w:rsidRPr="00AE4FCC">
        <w:rPr>
          <w:color w:val="000000"/>
          <w:szCs w:val="24"/>
        </w:rPr>
        <w:t xml:space="preserve"> </w:t>
      </w:r>
      <w:r w:rsidRPr="00AE4FCC">
        <w:rPr>
          <w:color w:val="000000"/>
          <w:szCs w:val="24"/>
        </w:rPr>
        <w:t xml:space="preserve">Agreements and Contestations in the Debate over its Renewal” </w:t>
      </w:r>
    </w:p>
    <w:p w14:paraId="7D42A5E3" w14:textId="77777777" w:rsidR="00BD6321" w:rsidRPr="00AE4FCC" w:rsidRDefault="0009635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b/>
      </w:r>
      <w:r w:rsidR="00BD6321" w:rsidRPr="00AE4FCC">
        <w:rPr>
          <w:color w:val="000000"/>
          <w:szCs w:val="24"/>
        </w:rPr>
        <w:t>(Duke University, 2006)</w:t>
      </w:r>
    </w:p>
    <w:p w14:paraId="00E303E8"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20199A4C" w14:textId="77777777" w:rsidR="00552900" w:rsidRPr="00AE4FCC" w:rsidRDefault="00552900"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Southern Political Science Association (2017)</w:t>
      </w:r>
    </w:p>
    <w:p w14:paraId="1141263D"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0B649BDC" w14:textId="77777777" w:rsidR="000B2D31" w:rsidRPr="00AE4FCC" w:rsidRDefault="000B2D3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AALS (2018)</w:t>
      </w:r>
    </w:p>
    <w:p w14:paraId="2DBC10C4"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22DBF620"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b/>
          <w:color w:val="000000"/>
          <w:szCs w:val="24"/>
        </w:rPr>
        <w:t>Discussant on Convention Panels</w:t>
      </w:r>
    </w:p>
    <w:p w14:paraId="6B7DED52"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5906541E" w14:textId="77777777" w:rsidR="00557414"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American Historical Association (1983, 1989)</w:t>
      </w:r>
    </w:p>
    <w:p w14:paraId="62D5E5BA" w14:textId="77777777" w:rsidR="00557414"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American Political Science Association (1977, 1988, 1989, 1995, 2000, 2007)</w:t>
      </w:r>
    </w:p>
    <w:p w14:paraId="42DB00D0" w14:textId="77777777" w:rsidR="00557414"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Pomona College Conference on Voting Rights (1983)</w:t>
      </w:r>
    </w:p>
    <w:p w14:paraId="66BB0925" w14:textId="77777777" w:rsidR="00557414"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California Institute of Technology Conference on Political Institutions (1984)</w:t>
      </w:r>
      <w:r w:rsidR="008F6761" w:rsidRPr="00AE4FCC">
        <w:rPr>
          <w:color w:val="000000"/>
          <w:szCs w:val="24"/>
        </w:rPr>
        <w:t xml:space="preserve"> </w:t>
      </w:r>
    </w:p>
    <w:p w14:paraId="305ACBA0" w14:textId="77777777" w:rsidR="00557414"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Organization of American Historians (1988, 2002)</w:t>
      </w:r>
    </w:p>
    <w:p w14:paraId="26428448"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Conference on The Future of African-American State Universities (1990)</w:t>
      </w:r>
    </w:p>
    <w:p w14:paraId="60D978C0" w14:textId="77777777" w:rsidR="00557414"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UCLA Conference on American Politics in Historical Perspective (1990)</w:t>
      </w:r>
    </w:p>
    <w:p w14:paraId="11FA393E" w14:textId="77777777" w:rsidR="00557414"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Federal Judicial Center, Conference on Civil Rights Act of 1964 (1994)</w:t>
      </w:r>
    </w:p>
    <w:p w14:paraId="4772AAAF" w14:textId="77777777" w:rsidR="00557414"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American Historical Association, Pacific Coast Branch (1996)</w:t>
      </w:r>
    </w:p>
    <w:p w14:paraId="150AC708" w14:textId="77777777" w:rsidR="00557414"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Southern Historical Association (1997, 2000, 2002)</w:t>
      </w:r>
    </w:p>
    <w:p w14:paraId="59822E02" w14:textId="4D3F45D4"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Social Science History Assn. (1998, 1999, 2001, 2003, 2006, 2008, 2011)</w:t>
      </w:r>
    </w:p>
    <w:p w14:paraId="722BF417" w14:textId="77777777" w:rsidR="00557414"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Southern Sociological Society (1999, 2007)</w:t>
      </w:r>
    </w:p>
    <w:p w14:paraId="1B400FBE"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Western Political Science Assn. (2001, 2002, 2004)</w:t>
      </w:r>
    </w:p>
    <w:p w14:paraId="03A8A965"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The Historical Society (2010)</w:t>
      </w:r>
    </w:p>
    <w:p w14:paraId="78773219"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0FC9E1F2"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b/>
          <w:color w:val="000000"/>
          <w:szCs w:val="24"/>
        </w:rPr>
        <w:t>Other</w:t>
      </w:r>
    </w:p>
    <w:p w14:paraId="4EEDB3F1"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101CF2C7" w14:textId="77777777" w:rsidR="00557414"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Rand Corporation (1978)</w:t>
      </w:r>
    </w:p>
    <w:p w14:paraId="419A880C" w14:textId="77777777" w:rsidR="00557414"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Town Hall of Los Angeles (1979)</w:t>
      </w:r>
    </w:p>
    <w:p w14:paraId="60620056" w14:textId="77777777" w:rsidR="00557414"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Severance Club of Los Angeles (1979)</w:t>
      </w:r>
    </w:p>
    <w:p w14:paraId="2AB3C420" w14:textId="77777777" w:rsidR="00557414"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NAACP Legal Defense Fund Conference on Voting Rights, New Orleans (1982)</w:t>
      </w:r>
    </w:p>
    <w:p w14:paraId="4D77D425" w14:textId="77777777" w:rsidR="00557414"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Constitutional Rights Foundation of L.A. (1990)</w:t>
      </w:r>
    </w:p>
    <w:p w14:paraId="09126517" w14:textId="77777777" w:rsidR="00557414"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Caltech, Martin Luther King Day Speaker (1990, 1992, 1999, 2010)</w:t>
      </w:r>
    </w:p>
    <w:p w14:paraId="21BCC813" w14:textId="77777777" w:rsidR="00557414"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All Saints Church Issues Forum (1992)</w:t>
      </w:r>
    </w:p>
    <w:p w14:paraId="62543487" w14:textId="77777777" w:rsidR="00557414"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Church of the Good Shepherd Issues Forum (1995)</w:t>
      </w:r>
    </w:p>
    <w:p w14:paraId="536FFEA7" w14:textId="77777777" w:rsidR="00557414"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Pasadena Jewish Temple (1996)</w:t>
      </w:r>
    </w:p>
    <w:p w14:paraId="0A891DD2" w14:textId="77777777" w:rsidR="00557414"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lastRenderedPageBreak/>
        <w:t>The Field Institute, San Francisco (1997)</w:t>
      </w:r>
    </w:p>
    <w:p w14:paraId="4949A9E6" w14:textId="77777777" w:rsidR="00557414"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“Beyond 2007: Voting Rights in the 20th Century,” (Washington D.C., 1997)</w:t>
      </w:r>
    </w:p>
    <w:p w14:paraId="2A07C7A1" w14:textId="77777777" w:rsidR="00557414"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Augus</w:t>
      </w:r>
      <w:r w:rsidR="009243A0" w:rsidRPr="00AE4FCC">
        <w:rPr>
          <w:color w:val="000000"/>
          <w:szCs w:val="24"/>
        </w:rPr>
        <w:t>ta-Richmond County Museum (1999</w:t>
      </w:r>
      <w:r w:rsidR="00557414" w:rsidRPr="00AE4FCC">
        <w:rPr>
          <w:color w:val="000000"/>
          <w:szCs w:val="24"/>
        </w:rPr>
        <w:t>)</w:t>
      </w:r>
    </w:p>
    <w:p w14:paraId="0782349F" w14:textId="77777777" w:rsidR="009B1206" w:rsidRPr="00AE4FCC" w:rsidRDefault="009B1206"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Princeton University Reunion Forum, “Fifty Years of the Voting Rights Act” (2015)</w:t>
      </w:r>
    </w:p>
    <w:p w14:paraId="29297607" w14:textId="77777777" w:rsidR="00557414" w:rsidRPr="00AE4FCC" w:rsidRDefault="009243A0"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Pasadena-Foothills Democratic Club (2016)</w:t>
      </w:r>
    </w:p>
    <w:p w14:paraId="36A1C236" w14:textId="77777777" w:rsidR="00557414" w:rsidRPr="00AE4FCC" w:rsidRDefault="00AB13FB"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Pasadena Playhouse (2017)</w:t>
      </w:r>
    </w:p>
    <w:p w14:paraId="76A45905" w14:textId="77777777" w:rsidR="00557414" w:rsidRPr="00AE4FCC" w:rsidRDefault="00552900"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Pasadena NAACP (2017)</w:t>
      </w:r>
    </w:p>
    <w:p w14:paraId="19F818FE" w14:textId="0AC7A167" w:rsidR="00D861B4" w:rsidRDefault="00F52123"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roofErr w:type="spellStart"/>
      <w:r w:rsidRPr="00AE4FCC">
        <w:rPr>
          <w:color w:val="000000"/>
          <w:szCs w:val="24"/>
        </w:rPr>
        <w:t>Monte</w:t>
      </w:r>
      <w:r w:rsidR="00D861B4" w:rsidRPr="00AE4FCC">
        <w:rPr>
          <w:color w:val="000000"/>
          <w:szCs w:val="24"/>
        </w:rPr>
        <w:t>Cedro</w:t>
      </w:r>
      <w:proofErr w:type="spellEnd"/>
      <w:r w:rsidR="00D861B4" w:rsidRPr="00AE4FCC">
        <w:rPr>
          <w:color w:val="000000"/>
          <w:szCs w:val="24"/>
        </w:rPr>
        <w:t xml:space="preserve"> Senior Living Community (2018)</w:t>
      </w:r>
    </w:p>
    <w:p w14:paraId="5DE38BA2" w14:textId="646F115D" w:rsidR="00BD6321" w:rsidRDefault="00726B3B"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Pr>
          <w:color w:val="000000"/>
          <w:szCs w:val="24"/>
        </w:rPr>
        <w:t>League of Women Voters, Pasadena Area (2021)</w:t>
      </w:r>
      <w:r w:rsidR="00BD0534">
        <w:rPr>
          <w:color w:val="000000"/>
          <w:szCs w:val="24"/>
        </w:rPr>
        <w:t xml:space="preserve">, available at   </w:t>
      </w:r>
      <w:hyperlink r:id="rId17" w:history="1">
        <w:r w:rsidR="001E7B22" w:rsidRPr="00E84DE3">
          <w:rPr>
            <w:rStyle w:val="Hyperlink"/>
            <w:szCs w:val="24"/>
          </w:rPr>
          <w:t>https://www.youtube.com/watch?v=0ot4cm4FR74</w:t>
        </w:r>
      </w:hyperlink>
      <w:r w:rsidR="001E7B22">
        <w:rPr>
          <w:color w:val="000000"/>
          <w:szCs w:val="24"/>
        </w:rPr>
        <w:t xml:space="preserve"> </w:t>
      </w:r>
    </w:p>
    <w:p w14:paraId="13F9F6DA" w14:textId="77777777" w:rsidR="001E7B22" w:rsidRPr="00AE4FCC" w:rsidRDefault="001E7B22"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b/>
          <w:color w:val="000000"/>
          <w:szCs w:val="24"/>
        </w:rPr>
      </w:pPr>
    </w:p>
    <w:p w14:paraId="7D70AB00"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jc w:val="center"/>
        <w:rPr>
          <w:color w:val="000000"/>
          <w:szCs w:val="24"/>
        </w:rPr>
      </w:pPr>
      <w:r w:rsidRPr="00AE4FCC">
        <w:rPr>
          <w:b/>
          <w:color w:val="000000"/>
          <w:szCs w:val="24"/>
        </w:rPr>
        <w:t>ORGANIZATIONS</w:t>
      </w:r>
      <w:r w:rsidRPr="00AE4FCC">
        <w:rPr>
          <w:color w:val="000000"/>
          <w:szCs w:val="24"/>
        </w:rPr>
        <w:t xml:space="preserve"> </w:t>
      </w:r>
      <w:r w:rsidRPr="00AE4FCC">
        <w:rPr>
          <w:b/>
          <w:color w:val="000000"/>
          <w:szCs w:val="24"/>
        </w:rPr>
        <w:t>AND PROFESSIONAL SERVICE</w:t>
      </w:r>
    </w:p>
    <w:p w14:paraId="665D2771"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1EBF116A"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b/>
          <w:color w:val="000000"/>
          <w:szCs w:val="24"/>
        </w:rPr>
        <w:t>Committees</w:t>
      </w:r>
    </w:p>
    <w:p w14:paraId="230BD08C"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174C57D0"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Chairman, Methodology Network, Social Science History Association, 1976-80</w:t>
      </w:r>
    </w:p>
    <w:p w14:paraId="66D18EF1"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Program Committee, Social Science History Assn., 1981, 1983</w:t>
      </w:r>
    </w:p>
    <w:p w14:paraId="10659F3A"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Membership Committee, Southern Historical Association, 1976-77, 1983, 1991-</w:t>
      </w:r>
      <w:r w:rsidR="00557414" w:rsidRPr="00AE4FCC">
        <w:rPr>
          <w:color w:val="000000"/>
          <w:szCs w:val="24"/>
        </w:rPr>
        <w:t>9</w:t>
      </w:r>
      <w:r w:rsidRPr="00AE4FCC">
        <w:rPr>
          <w:color w:val="000000"/>
          <w:szCs w:val="24"/>
        </w:rPr>
        <w:t>2</w:t>
      </w:r>
    </w:p>
    <w:p w14:paraId="259A2839"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American Historical Association Committee on Quantitative Methods, 1983-86</w:t>
      </w:r>
    </w:p>
    <w:p w14:paraId="2605D65F"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Anglo-American Historical Committee, 1984-85</w:t>
      </w:r>
    </w:p>
    <w:p w14:paraId="48FDAED0"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Committee on Harmsworth Professorship, American Historical Assn., 1985-88</w:t>
      </w:r>
    </w:p>
    <w:p w14:paraId="47283329"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Executive Committee, Social Science History Assn., 1989-1993</w:t>
      </w:r>
    </w:p>
    <w:p w14:paraId="6C3F7E50"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5ADDBBC5"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b/>
          <w:color w:val="000000"/>
          <w:szCs w:val="24"/>
        </w:rPr>
      </w:pPr>
      <w:r w:rsidRPr="00AE4FCC">
        <w:rPr>
          <w:b/>
          <w:color w:val="000000"/>
          <w:szCs w:val="24"/>
        </w:rPr>
        <w:t>Editorial Boards</w:t>
      </w:r>
    </w:p>
    <w:p w14:paraId="07796663"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57599411"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Journal of American History</w:t>
      </w:r>
      <w:r w:rsidRPr="00AE4FCC">
        <w:rPr>
          <w:color w:val="000000"/>
          <w:szCs w:val="24"/>
        </w:rPr>
        <w:t>, 1977-1980</w:t>
      </w:r>
    </w:p>
    <w:p w14:paraId="2292418B"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Historical Methods,</w:t>
      </w:r>
      <w:r w:rsidRPr="00AE4FCC">
        <w:rPr>
          <w:color w:val="000000"/>
          <w:szCs w:val="24"/>
        </w:rPr>
        <w:t xml:space="preserve"> 1983-86</w:t>
      </w:r>
    </w:p>
    <w:p w14:paraId="5FE94484"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Social Science History</w:t>
      </w:r>
      <w:r w:rsidRPr="00AE4FCC">
        <w:rPr>
          <w:color w:val="000000"/>
          <w:szCs w:val="24"/>
        </w:rPr>
        <w:t>, 1987-92</w:t>
      </w:r>
    </w:p>
    <w:p w14:paraId="12F65FB0" w14:textId="4FC4AED2"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Journal of Interdisciplinary History</w:t>
      </w:r>
      <w:r w:rsidRPr="00AE4FCC">
        <w:rPr>
          <w:color w:val="000000"/>
          <w:szCs w:val="24"/>
        </w:rPr>
        <w:t xml:space="preserve">, </w:t>
      </w:r>
      <w:r w:rsidR="00841B78">
        <w:rPr>
          <w:color w:val="000000"/>
          <w:szCs w:val="24"/>
        </w:rPr>
        <w:t xml:space="preserve">1989- </w:t>
      </w:r>
    </w:p>
    <w:p w14:paraId="10C18D5A"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 xml:space="preserve">Co-Editor, </w:t>
      </w:r>
      <w:r w:rsidRPr="00AE4FCC">
        <w:rPr>
          <w:i/>
          <w:color w:val="000000"/>
          <w:szCs w:val="24"/>
        </w:rPr>
        <w:t>Historical Methods</w:t>
      </w:r>
      <w:r w:rsidRPr="00AE4FCC">
        <w:rPr>
          <w:color w:val="000000"/>
          <w:szCs w:val="24"/>
        </w:rPr>
        <w:t>, 2000-05</w:t>
      </w:r>
    </w:p>
    <w:p w14:paraId="6C5861D3" w14:textId="77777777" w:rsidR="00557414"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 xml:space="preserve">Editor, </w:t>
      </w:r>
      <w:r w:rsidRPr="00AE4FCC">
        <w:rPr>
          <w:i/>
          <w:color w:val="000000"/>
          <w:szCs w:val="24"/>
        </w:rPr>
        <w:t>Historical Methods</w:t>
      </w:r>
      <w:r w:rsidRPr="00AE4FCC">
        <w:rPr>
          <w:color w:val="000000"/>
          <w:szCs w:val="24"/>
        </w:rPr>
        <w:t>, 2005-13</w:t>
      </w:r>
    </w:p>
    <w:p w14:paraId="15ADDB55"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49C41323"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jc w:val="center"/>
        <w:rPr>
          <w:color w:val="000000"/>
          <w:szCs w:val="24"/>
        </w:rPr>
      </w:pPr>
      <w:r w:rsidRPr="00AE4FCC">
        <w:rPr>
          <w:b/>
          <w:color w:val="000000"/>
          <w:szCs w:val="24"/>
        </w:rPr>
        <w:t>EXPERT WITNESS TESTIMONY</w:t>
      </w:r>
    </w:p>
    <w:p w14:paraId="021EF598"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78C06D74"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 xml:space="preserve"> </w:t>
      </w:r>
      <w:r w:rsidRPr="00AE4FCC">
        <w:rPr>
          <w:i/>
          <w:color w:val="000000"/>
          <w:szCs w:val="24"/>
        </w:rPr>
        <w:t>Hunter</w:t>
      </w:r>
      <w:r w:rsidRPr="00AE4FCC">
        <w:rPr>
          <w:color w:val="000000"/>
          <w:szCs w:val="24"/>
        </w:rPr>
        <w:t xml:space="preserve"> v. </w:t>
      </w:r>
      <w:r w:rsidRPr="00AE4FCC">
        <w:rPr>
          <w:i/>
          <w:color w:val="000000"/>
          <w:szCs w:val="24"/>
        </w:rPr>
        <w:t>Underwood</w:t>
      </w:r>
      <w:r w:rsidRPr="00AE4FCC">
        <w:rPr>
          <w:color w:val="000000"/>
          <w:szCs w:val="24"/>
        </w:rPr>
        <w:t>, 471 U.S. 222 (1985).</w:t>
      </w:r>
    </w:p>
    <w:p w14:paraId="093405EA"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2BD3957C"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 xml:space="preserve"> </w:t>
      </w:r>
      <w:r w:rsidRPr="00AE4FCC">
        <w:rPr>
          <w:i/>
          <w:color w:val="000000"/>
          <w:szCs w:val="24"/>
        </w:rPr>
        <w:t>Mobile</w:t>
      </w:r>
      <w:r w:rsidRPr="00AE4FCC">
        <w:rPr>
          <w:color w:val="000000"/>
          <w:szCs w:val="24"/>
        </w:rPr>
        <w:t xml:space="preserve"> v. </w:t>
      </w:r>
      <w:r w:rsidRPr="00AE4FCC">
        <w:rPr>
          <w:i/>
          <w:color w:val="000000"/>
          <w:szCs w:val="24"/>
        </w:rPr>
        <w:t>Bolden</w:t>
      </w:r>
      <w:r w:rsidRPr="00AE4FCC">
        <w:rPr>
          <w:color w:val="000000"/>
          <w:szCs w:val="24"/>
        </w:rPr>
        <w:t>, 542 F. Supp. 1050 (S.D.</w:t>
      </w:r>
      <w:r w:rsidR="00096351" w:rsidRPr="00AE4FCC">
        <w:rPr>
          <w:color w:val="000000"/>
          <w:szCs w:val="24"/>
        </w:rPr>
        <w:t xml:space="preserve"> </w:t>
      </w:r>
      <w:r w:rsidRPr="00AE4FCC">
        <w:rPr>
          <w:color w:val="000000"/>
          <w:szCs w:val="24"/>
        </w:rPr>
        <w:t>Ala. 1982).</w:t>
      </w:r>
    </w:p>
    <w:p w14:paraId="6F1A87B7"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67D5773B"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 xml:space="preserve"> </w:t>
      </w:r>
      <w:r w:rsidRPr="00AE4FCC">
        <w:rPr>
          <w:i/>
          <w:color w:val="000000"/>
          <w:szCs w:val="24"/>
        </w:rPr>
        <w:t>Moore</w:t>
      </w:r>
      <w:r w:rsidRPr="00AE4FCC">
        <w:rPr>
          <w:color w:val="000000"/>
          <w:szCs w:val="24"/>
        </w:rPr>
        <w:t xml:space="preserve"> v. </w:t>
      </w:r>
      <w:r w:rsidRPr="00AE4FCC">
        <w:rPr>
          <w:i/>
          <w:color w:val="000000"/>
          <w:szCs w:val="24"/>
        </w:rPr>
        <w:t>Brown</w:t>
      </w:r>
      <w:r w:rsidRPr="00AE4FCC">
        <w:rPr>
          <w:color w:val="000000"/>
          <w:szCs w:val="24"/>
        </w:rPr>
        <w:t>, 542 F. Supp. 1078 (S.D.</w:t>
      </w:r>
      <w:r w:rsidR="00096351" w:rsidRPr="00AE4FCC">
        <w:rPr>
          <w:color w:val="000000"/>
          <w:szCs w:val="24"/>
        </w:rPr>
        <w:t xml:space="preserve"> </w:t>
      </w:r>
      <w:r w:rsidRPr="00AE4FCC">
        <w:rPr>
          <w:color w:val="000000"/>
          <w:szCs w:val="24"/>
        </w:rPr>
        <w:t>Ala. 1982).</w:t>
      </w:r>
    </w:p>
    <w:p w14:paraId="034C071A"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16B91CCE"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United States</w:t>
      </w:r>
      <w:r w:rsidRPr="00AE4FCC">
        <w:rPr>
          <w:color w:val="000000"/>
          <w:szCs w:val="24"/>
        </w:rPr>
        <w:t xml:space="preserve"> v. </w:t>
      </w:r>
      <w:r w:rsidRPr="00AE4FCC">
        <w:rPr>
          <w:i/>
          <w:color w:val="000000"/>
          <w:szCs w:val="24"/>
        </w:rPr>
        <w:t>Dallas County Commission</w:t>
      </w:r>
      <w:r w:rsidRPr="00AE4FCC">
        <w:rPr>
          <w:color w:val="000000"/>
          <w:szCs w:val="24"/>
        </w:rPr>
        <w:t>, 548 F. Supp. 875 (S.D.</w:t>
      </w:r>
      <w:r w:rsidR="00096351" w:rsidRPr="00AE4FCC">
        <w:rPr>
          <w:color w:val="000000"/>
          <w:szCs w:val="24"/>
        </w:rPr>
        <w:t xml:space="preserve"> </w:t>
      </w:r>
      <w:r w:rsidRPr="00AE4FCC">
        <w:rPr>
          <w:color w:val="000000"/>
          <w:szCs w:val="24"/>
        </w:rPr>
        <w:t>Ala. 1981).</w:t>
      </w:r>
    </w:p>
    <w:p w14:paraId="5692D2B2"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59A9C88F"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lastRenderedPageBreak/>
        <w:t>Taylor</w:t>
      </w:r>
      <w:r w:rsidRPr="00AE4FCC">
        <w:rPr>
          <w:color w:val="000000"/>
          <w:szCs w:val="24"/>
        </w:rPr>
        <w:t xml:space="preserve"> v. </w:t>
      </w:r>
      <w:r w:rsidRPr="00AE4FCC">
        <w:rPr>
          <w:i/>
          <w:color w:val="000000"/>
          <w:szCs w:val="24"/>
        </w:rPr>
        <w:t>Haywood County, Tenn. Commission</w:t>
      </w:r>
      <w:r w:rsidRPr="00AE4FCC">
        <w:rPr>
          <w:color w:val="000000"/>
          <w:szCs w:val="24"/>
        </w:rPr>
        <w:t>, 544 F. Supp. 1122 (W.D.</w:t>
      </w:r>
      <w:r w:rsidR="00096351" w:rsidRPr="00AE4FCC">
        <w:rPr>
          <w:color w:val="000000"/>
          <w:szCs w:val="24"/>
        </w:rPr>
        <w:t xml:space="preserve"> </w:t>
      </w:r>
      <w:r w:rsidRPr="00AE4FCC">
        <w:rPr>
          <w:color w:val="000000"/>
          <w:szCs w:val="24"/>
        </w:rPr>
        <w:t>Tenn. 1982).</w:t>
      </w:r>
    </w:p>
    <w:p w14:paraId="6180043E"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072FA6C1"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Sumter County Council</w:t>
      </w:r>
      <w:r w:rsidRPr="00AE4FCC">
        <w:rPr>
          <w:color w:val="000000"/>
          <w:szCs w:val="24"/>
        </w:rPr>
        <w:t xml:space="preserve"> v. U.S., 444 F. Supp. 694 (D.D.C. 1983).</w:t>
      </w:r>
    </w:p>
    <w:p w14:paraId="4A1CE0A0"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50E241E6"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left="720" w:hanging="720"/>
        <w:contextualSpacing/>
        <w:rPr>
          <w:color w:val="000000"/>
          <w:szCs w:val="24"/>
        </w:rPr>
      </w:pPr>
      <w:r w:rsidRPr="00AE4FCC">
        <w:rPr>
          <w:i/>
          <w:color w:val="000000"/>
          <w:szCs w:val="24"/>
        </w:rPr>
        <w:t>Brown</w:t>
      </w:r>
      <w:r w:rsidRPr="00AE4FCC">
        <w:rPr>
          <w:color w:val="000000"/>
          <w:szCs w:val="24"/>
        </w:rPr>
        <w:t xml:space="preserve"> v. </w:t>
      </w:r>
      <w:r w:rsidRPr="00AE4FCC">
        <w:rPr>
          <w:i/>
          <w:color w:val="000000"/>
          <w:szCs w:val="24"/>
        </w:rPr>
        <w:t>Board of Commissioners of the City of Chattanooga, Tenn.</w:t>
      </w:r>
      <w:r w:rsidRPr="00AE4FCC">
        <w:rPr>
          <w:color w:val="000000"/>
          <w:szCs w:val="24"/>
        </w:rPr>
        <w:t xml:space="preserve"> 722 F. Supp. 380 (E.D. Tenn. 1989).</w:t>
      </w:r>
    </w:p>
    <w:p w14:paraId="1307045A"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0F3EA479"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left="720" w:hanging="720"/>
        <w:contextualSpacing/>
        <w:rPr>
          <w:color w:val="000000"/>
          <w:szCs w:val="24"/>
        </w:rPr>
      </w:pPr>
      <w:r w:rsidRPr="00AE4FCC">
        <w:rPr>
          <w:i/>
          <w:color w:val="000000"/>
          <w:szCs w:val="24"/>
        </w:rPr>
        <w:t>Garza</w:t>
      </w:r>
      <w:r w:rsidRPr="00AE4FCC">
        <w:rPr>
          <w:color w:val="000000"/>
          <w:szCs w:val="24"/>
        </w:rPr>
        <w:t xml:space="preserve"> v. </w:t>
      </w:r>
      <w:r w:rsidRPr="00AE4FCC">
        <w:rPr>
          <w:i/>
          <w:color w:val="000000"/>
          <w:szCs w:val="24"/>
        </w:rPr>
        <w:t>Los Angeles County Board of Supervisors</w:t>
      </w:r>
      <w:r w:rsidRPr="00AE4FCC">
        <w:rPr>
          <w:color w:val="000000"/>
          <w:szCs w:val="24"/>
        </w:rPr>
        <w:t xml:space="preserve">, 756 F. Supp. 1298 (C.D. Cal. 1990), </w:t>
      </w:r>
      <w:r w:rsidRPr="00AE4FCC">
        <w:rPr>
          <w:i/>
          <w:iCs/>
          <w:color w:val="000000"/>
          <w:szCs w:val="24"/>
        </w:rPr>
        <w:t>aff</w:t>
      </w:r>
      <w:r w:rsidR="00AE4FCC" w:rsidRPr="00AE4FCC">
        <w:rPr>
          <w:i/>
          <w:iCs/>
          <w:color w:val="000000"/>
          <w:szCs w:val="24"/>
        </w:rPr>
        <w:t>’</w:t>
      </w:r>
      <w:r w:rsidRPr="00AE4FCC">
        <w:rPr>
          <w:i/>
          <w:iCs/>
          <w:color w:val="000000"/>
          <w:szCs w:val="24"/>
        </w:rPr>
        <w:t>d</w:t>
      </w:r>
      <w:r w:rsidRPr="00AE4FCC">
        <w:rPr>
          <w:color w:val="000000"/>
          <w:szCs w:val="24"/>
        </w:rPr>
        <w:t xml:space="preserve">, 918 F.2d 763 (9th Cir. 1990), </w:t>
      </w:r>
      <w:r w:rsidRPr="00AE4FCC">
        <w:rPr>
          <w:i/>
          <w:color w:val="000000"/>
          <w:szCs w:val="24"/>
        </w:rPr>
        <w:t>cert. denied</w:t>
      </w:r>
      <w:r w:rsidRPr="00AE4FCC">
        <w:rPr>
          <w:color w:val="000000"/>
          <w:szCs w:val="24"/>
        </w:rPr>
        <w:t>, 111 S. Ct. 681</w:t>
      </w:r>
      <w:r w:rsidR="00096351" w:rsidRPr="00AE4FCC">
        <w:rPr>
          <w:color w:val="000000"/>
          <w:szCs w:val="24"/>
        </w:rPr>
        <w:t xml:space="preserve"> </w:t>
      </w:r>
      <w:r w:rsidRPr="00AE4FCC">
        <w:rPr>
          <w:color w:val="000000"/>
          <w:szCs w:val="24"/>
        </w:rPr>
        <w:t>(1991).</w:t>
      </w:r>
    </w:p>
    <w:p w14:paraId="71387D23"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1F2596FC"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left="720" w:hanging="720"/>
        <w:contextualSpacing/>
        <w:rPr>
          <w:color w:val="000000"/>
          <w:szCs w:val="24"/>
        </w:rPr>
      </w:pPr>
      <w:r w:rsidRPr="00AE4FCC">
        <w:rPr>
          <w:i/>
          <w:color w:val="000000"/>
          <w:szCs w:val="24"/>
        </w:rPr>
        <w:t>Brooks</w:t>
      </w:r>
      <w:r w:rsidRPr="00AE4FCC">
        <w:rPr>
          <w:color w:val="000000"/>
          <w:szCs w:val="24"/>
        </w:rPr>
        <w:t xml:space="preserve"> v. </w:t>
      </w:r>
      <w:r w:rsidRPr="00AE4FCC">
        <w:rPr>
          <w:i/>
          <w:color w:val="000000"/>
          <w:szCs w:val="24"/>
        </w:rPr>
        <w:t>Harris</w:t>
      </w:r>
      <w:r w:rsidRPr="00AE4FCC">
        <w:rPr>
          <w:color w:val="000000"/>
          <w:szCs w:val="24"/>
        </w:rPr>
        <w:t xml:space="preserve"> (N.D. GA., Civ. Action No. 1: 90-CV-1001-RCF, July 1990), preliminary injunction refused to plaintiffs.</w:t>
      </w:r>
    </w:p>
    <w:p w14:paraId="001E115A"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1C8C47F8" w14:textId="77777777" w:rsidR="001D720F"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i/>
          <w:color w:val="000000"/>
          <w:szCs w:val="24"/>
        </w:rPr>
      </w:pPr>
      <w:r w:rsidRPr="00AE4FCC">
        <w:rPr>
          <w:i/>
          <w:color w:val="000000"/>
          <w:szCs w:val="24"/>
        </w:rPr>
        <w:t>U.S.</w:t>
      </w:r>
      <w:r w:rsidRPr="00AE4FCC">
        <w:rPr>
          <w:color w:val="000000"/>
          <w:szCs w:val="24"/>
        </w:rPr>
        <w:t xml:space="preserve"> v. </w:t>
      </w:r>
      <w:r w:rsidRPr="00AE4FCC">
        <w:rPr>
          <w:i/>
          <w:color w:val="000000"/>
          <w:szCs w:val="24"/>
        </w:rPr>
        <w:t>City of Memphis</w:t>
      </w:r>
      <w:r w:rsidR="001D720F" w:rsidRPr="00AE4FCC">
        <w:rPr>
          <w:color w:val="000000"/>
          <w:szCs w:val="24"/>
        </w:rPr>
        <w:t xml:space="preserve"> (W.D. Tenn. 1991), further proceeding </w:t>
      </w:r>
      <w:r w:rsidR="001D720F" w:rsidRPr="00AE4FCC">
        <w:rPr>
          <w:i/>
          <w:color w:val="000000"/>
          <w:szCs w:val="24"/>
        </w:rPr>
        <w:t>sub nom</w:t>
      </w:r>
      <w:r w:rsidR="001D720F" w:rsidRPr="00AE4FCC">
        <w:rPr>
          <w:color w:val="000000"/>
          <w:szCs w:val="24"/>
        </w:rPr>
        <w:t xml:space="preserve">. </w:t>
      </w:r>
      <w:r w:rsidR="001D720F" w:rsidRPr="00AE4FCC">
        <w:rPr>
          <w:i/>
          <w:color w:val="000000"/>
          <w:szCs w:val="24"/>
        </w:rPr>
        <w:t xml:space="preserve">Muhammad v. City of </w:t>
      </w:r>
    </w:p>
    <w:p w14:paraId="4CB1B742" w14:textId="6EABDD77" w:rsidR="00BD6321" w:rsidRPr="00AE4FCC" w:rsidRDefault="008F676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 xml:space="preserve">   </w:t>
      </w:r>
      <w:r w:rsidR="00BF5709">
        <w:rPr>
          <w:i/>
          <w:color w:val="000000"/>
          <w:szCs w:val="24"/>
        </w:rPr>
        <w:t xml:space="preserve">         </w:t>
      </w:r>
      <w:r w:rsidR="001D720F" w:rsidRPr="00AE4FCC">
        <w:rPr>
          <w:i/>
          <w:color w:val="000000"/>
          <w:szCs w:val="24"/>
        </w:rPr>
        <w:t>Memphis</w:t>
      </w:r>
      <w:r w:rsidR="001D720F" w:rsidRPr="00AE4FCC">
        <w:rPr>
          <w:color w:val="000000"/>
          <w:szCs w:val="24"/>
        </w:rPr>
        <w:t>, 1995 U.S. Dist. LEXIS 22538 (W.D. Tenn. 1995).</w:t>
      </w:r>
    </w:p>
    <w:p w14:paraId="58D02FC0"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45C4AB3F" w14:textId="6965A0E0"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Gonzales</w:t>
      </w:r>
      <w:r w:rsidRPr="00AE4FCC">
        <w:rPr>
          <w:color w:val="000000"/>
          <w:szCs w:val="24"/>
        </w:rPr>
        <w:t xml:space="preserve"> v. </w:t>
      </w:r>
      <w:r w:rsidRPr="00AE4FCC">
        <w:rPr>
          <w:i/>
          <w:color w:val="000000"/>
          <w:szCs w:val="24"/>
        </w:rPr>
        <w:t>Monterey County, C</w:t>
      </w:r>
      <w:r w:rsidR="005C6C6A">
        <w:rPr>
          <w:i/>
          <w:color w:val="000000"/>
          <w:szCs w:val="24"/>
        </w:rPr>
        <w:t>al.,</w:t>
      </w:r>
      <w:r w:rsidRPr="00AE4FCC">
        <w:rPr>
          <w:color w:val="000000"/>
          <w:szCs w:val="24"/>
        </w:rPr>
        <w:t xml:space="preserve"> </w:t>
      </w:r>
      <w:r w:rsidR="005C6C6A">
        <w:rPr>
          <w:color w:val="000000"/>
          <w:szCs w:val="24"/>
        </w:rPr>
        <w:t>808 F. Supp. 727 (N.D. Cal. 1992)</w:t>
      </w:r>
      <w:r w:rsidRPr="00AE4FCC">
        <w:rPr>
          <w:color w:val="000000"/>
          <w:szCs w:val="24"/>
        </w:rPr>
        <w:t>.</w:t>
      </w:r>
    </w:p>
    <w:p w14:paraId="24EA6934"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4FD2B726"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left="720" w:hanging="720"/>
        <w:contextualSpacing/>
        <w:rPr>
          <w:color w:val="000000"/>
          <w:szCs w:val="24"/>
        </w:rPr>
      </w:pPr>
      <w:r w:rsidRPr="00AE4FCC">
        <w:rPr>
          <w:i/>
          <w:color w:val="000000"/>
          <w:szCs w:val="24"/>
        </w:rPr>
        <w:t>Members of the California Democratic Congressional Delegation</w:t>
      </w:r>
      <w:r w:rsidRPr="00AE4FCC">
        <w:rPr>
          <w:color w:val="000000"/>
          <w:szCs w:val="24"/>
        </w:rPr>
        <w:t xml:space="preserve"> v. </w:t>
      </w:r>
      <w:r w:rsidRPr="00AE4FCC">
        <w:rPr>
          <w:i/>
          <w:color w:val="000000"/>
          <w:szCs w:val="24"/>
        </w:rPr>
        <w:t>Eu</w:t>
      </w:r>
      <w:r w:rsidRPr="00AE4FCC">
        <w:rPr>
          <w:color w:val="000000"/>
          <w:szCs w:val="24"/>
        </w:rPr>
        <w:t>, summary judgment granted to defendants.</w:t>
      </w:r>
    </w:p>
    <w:p w14:paraId="61C8FCAD"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76926AD0"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left="720" w:hanging="720"/>
        <w:contextualSpacing/>
        <w:rPr>
          <w:color w:val="000000"/>
          <w:szCs w:val="24"/>
        </w:rPr>
      </w:pPr>
      <w:r w:rsidRPr="00AE4FCC">
        <w:rPr>
          <w:i/>
          <w:color w:val="000000"/>
          <w:szCs w:val="24"/>
        </w:rPr>
        <w:t>DeBaca</w:t>
      </w:r>
      <w:r w:rsidRPr="00AE4FCC">
        <w:rPr>
          <w:color w:val="000000"/>
          <w:szCs w:val="24"/>
        </w:rPr>
        <w:t xml:space="preserve"> v. </w:t>
      </w:r>
      <w:r w:rsidRPr="00AE4FCC">
        <w:rPr>
          <w:i/>
          <w:color w:val="000000"/>
          <w:szCs w:val="24"/>
        </w:rPr>
        <w:t>San Diego County Board of Supervisors</w:t>
      </w:r>
      <w:r w:rsidRPr="00AE4FCC">
        <w:rPr>
          <w:color w:val="000000"/>
          <w:szCs w:val="24"/>
        </w:rPr>
        <w:t xml:space="preserve"> (S.D. Cal., Civ. No. 91-1282-R(M), May 11, 1992), summary judgment granted to defendants.</w:t>
      </w:r>
    </w:p>
    <w:p w14:paraId="6A1891F7"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4BA499DB" w14:textId="4ADC91B6"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Cousin</w:t>
      </w:r>
      <w:r w:rsidRPr="00AE4FCC">
        <w:rPr>
          <w:color w:val="000000"/>
          <w:szCs w:val="24"/>
        </w:rPr>
        <w:t xml:space="preserve"> v. </w:t>
      </w:r>
      <w:r w:rsidRPr="00AE4FCC">
        <w:rPr>
          <w:i/>
          <w:color w:val="000000"/>
          <w:szCs w:val="24"/>
        </w:rPr>
        <w:t>McWherter</w:t>
      </w:r>
      <w:r w:rsidRPr="00AE4FCC">
        <w:rPr>
          <w:color w:val="000000"/>
          <w:szCs w:val="24"/>
        </w:rPr>
        <w:t xml:space="preserve"> (E.D. Tenn., 1993), </w:t>
      </w:r>
      <w:r w:rsidR="000A49DF">
        <w:rPr>
          <w:color w:val="000000"/>
          <w:szCs w:val="24"/>
        </w:rPr>
        <w:t>904 F. Supp. 686 (E.D. Tenn. 1995).</w:t>
      </w:r>
    </w:p>
    <w:p w14:paraId="04AF3A55"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515D8534"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left="720" w:hanging="720"/>
        <w:contextualSpacing/>
        <w:rPr>
          <w:color w:val="000000"/>
          <w:szCs w:val="24"/>
        </w:rPr>
      </w:pPr>
      <w:r w:rsidRPr="00AE4FCC">
        <w:rPr>
          <w:i/>
          <w:color w:val="000000"/>
          <w:szCs w:val="24"/>
        </w:rPr>
        <w:t>Rural West Tennessee African-American Affairs Council</w:t>
      </w:r>
      <w:r w:rsidRPr="00AE4FCC">
        <w:rPr>
          <w:color w:val="000000"/>
          <w:szCs w:val="24"/>
        </w:rPr>
        <w:t xml:space="preserve"> v. </w:t>
      </w:r>
      <w:r w:rsidRPr="00AE4FCC">
        <w:rPr>
          <w:i/>
          <w:color w:val="000000"/>
          <w:szCs w:val="24"/>
        </w:rPr>
        <w:t>McWherter</w:t>
      </w:r>
      <w:r w:rsidRPr="00AE4FCC">
        <w:rPr>
          <w:color w:val="000000"/>
          <w:szCs w:val="24"/>
        </w:rPr>
        <w:t xml:space="preserve"> 836 </w:t>
      </w:r>
      <w:proofErr w:type="spellStart"/>
      <w:r w:rsidRPr="00AE4FCC">
        <w:rPr>
          <w:color w:val="000000"/>
          <w:szCs w:val="24"/>
        </w:rPr>
        <w:t>F.Supp</w:t>
      </w:r>
      <w:proofErr w:type="spellEnd"/>
      <w:r w:rsidRPr="00AE4FCC">
        <w:rPr>
          <w:color w:val="000000"/>
          <w:szCs w:val="24"/>
        </w:rPr>
        <w:t xml:space="preserve">. 453 (W.D. Tenn. 1993), </w:t>
      </w:r>
      <w:r w:rsidR="00F34673" w:rsidRPr="00AE4FCC">
        <w:rPr>
          <w:i/>
          <w:color w:val="000000"/>
          <w:szCs w:val="24"/>
        </w:rPr>
        <w:t xml:space="preserve">vacated, </w:t>
      </w:r>
      <w:r w:rsidR="00F34673" w:rsidRPr="00AE4FCC">
        <w:rPr>
          <w:iCs/>
          <w:color w:val="000000"/>
          <w:szCs w:val="24"/>
        </w:rPr>
        <w:t>512 U.S. 1248 (199</w:t>
      </w:r>
      <w:r w:rsidR="00F34673" w:rsidRPr="00AE4FCC">
        <w:rPr>
          <w:color w:val="000000"/>
          <w:szCs w:val="24"/>
        </w:rPr>
        <w:t>4).</w:t>
      </w:r>
    </w:p>
    <w:p w14:paraId="0BCBE9D2"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28D5CD2C"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Shaw</w:t>
      </w:r>
      <w:r w:rsidRPr="00AE4FCC">
        <w:rPr>
          <w:color w:val="000000"/>
          <w:szCs w:val="24"/>
        </w:rPr>
        <w:t xml:space="preserve"> v. </w:t>
      </w:r>
      <w:r w:rsidRPr="00AE4FCC">
        <w:rPr>
          <w:i/>
          <w:color w:val="000000"/>
          <w:szCs w:val="24"/>
        </w:rPr>
        <w:t>Hunt</w:t>
      </w:r>
      <w:r w:rsidRPr="00AE4FCC">
        <w:rPr>
          <w:color w:val="000000"/>
          <w:szCs w:val="24"/>
        </w:rPr>
        <w:t xml:space="preserve">, 861 </w:t>
      </w:r>
      <w:proofErr w:type="spellStart"/>
      <w:r w:rsidRPr="00AE4FCC">
        <w:rPr>
          <w:color w:val="000000"/>
          <w:szCs w:val="24"/>
        </w:rPr>
        <w:t>F.Supp</w:t>
      </w:r>
      <w:proofErr w:type="spellEnd"/>
      <w:r w:rsidRPr="00AE4FCC">
        <w:rPr>
          <w:color w:val="000000"/>
          <w:szCs w:val="24"/>
        </w:rPr>
        <w:t>. 408 (E.D. N.C. 1994).</w:t>
      </w:r>
    </w:p>
    <w:p w14:paraId="2D2CC716"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29DE5004"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Vera</w:t>
      </w:r>
      <w:r w:rsidRPr="00AE4FCC">
        <w:rPr>
          <w:color w:val="000000"/>
          <w:szCs w:val="24"/>
        </w:rPr>
        <w:t xml:space="preserve"> v. </w:t>
      </w:r>
      <w:r w:rsidRPr="00AE4FCC">
        <w:rPr>
          <w:i/>
          <w:color w:val="000000"/>
          <w:szCs w:val="24"/>
        </w:rPr>
        <w:t>Richards</w:t>
      </w:r>
      <w:r w:rsidRPr="00AE4FCC">
        <w:rPr>
          <w:color w:val="000000"/>
          <w:szCs w:val="24"/>
        </w:rPr>
        <w:t xml:space="preserve">, 861 </w:t>
      </w:r>
      <w:proofErr w:type="spellStart"/>
      <w:r w:rsidRPr="00AE4FCC">
        <w:rPr>
          <w:color w:val="000000"/>
          <w:szCs w:val="24"/>
        </w:rPr>
        <w:t>F.Supp</w:t>
      </w:r>
      <w:proofErr w:type="spellEnd"/>
      <w:r w:rsidRPr="00AE4FCC">
        <w:rPr>
          <w:color w:val="000000"/>
          <w:szCs w:val="24"/>
        </w:rPr>
        <w:t>. 1304 (S.D. T</w:t>
      </w:r>
      <w:r w:rsidR="006449DB" w:rsidRPr="00AE4FCC">
        <w:rPr>
          <w:color w:val="000000"/>
          <w:szCs w:val="24"/>
        </w:rPr>
        <w:t>e</w:t>
      </w:r>
      <w:r w:rsidRPr="00AE4FCC">
        <w:rPr>
          <w:color w:val="000000"/>
          <w:szCs w:val="24"/>
        </w:rPr>
        <w:t>x. 1994).</w:t>
      </w:r>
    </w:p>
    <w:p w14:paraId="50B065B2"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1A3A3901"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Georgia</w:t>
      </w:r>
      <w:r w:rsidRPr="00AE4FCC">
        <w:rPr>
          <w:color w:val="000000"/>
          <w:szCs w:val="24"/>
        </w:rPr>
        <w:t xml:space="preserve"> v. </w:t>
      </w:r>
      <w:r w:rsidRPr="00AE4FCC">
        <w:rPr>
          <w:i/>
          <w:color w:val="000000"/>
          <w:szCs w:val="24"/>
        </w:rPr>
        <w:t>Reno</w:t>
      </w:r>
      <w:r w:rsidRPr="00AE4FCC">
        <w:rPr>
          <w:color w:val="000000"/>
          <w:szCs w:val="24"/>
        </w:rPr>
        <w:t xml:space="preserve">, 881 </w:t>
      </w:r>
      <w:proofErr w:type="spellStart"/>
      <w:r w:rsidRPr="00AE4FCC">
        <w:rPr>
          <w:color w:val="000000"/>
          <w:szCs w:val="24"/>
        </w:rPr>
        <w:t>F.Supp</w:t>
      </w:r>
      <w:proofErr w:type="spellEnd"/>
      <w:r w:rsidRPr="00AE4FCC">
        <w:rPr>
          <w:color w:val="000000"/>
          <w:szCs w:val="24"/>
        </w:rPr>
        <w:t xml:space="preserve">. 7 (D.D.C. 1995). </w:t>
      </w:r>
    </w:p>
    <w:p w14:paraId="46A99EF3"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7443A3F8"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Lopez</w:t>
      </w:r>
      <w:r w:rsidRPr="00AE4FCC">
        <w:rPr>
          <w:color w:val="000000"/>
          <w:szCs w:val="24"/>
        </w:rPr>
        <w:t xml:space="preserve"> v. </w:t>
      </w:r>
      <w:r w:rsidRPr="00AE4FCC">
        <w:rPr>
          <w:i/>
          <w:color w:val="000000"/>
          <w:szCs w:val="24"/>
        </w:rPr>
        <w:t>Monterey County</w:t>
      </w:r>
      <w:r w:rsidR="00096351" w:rsidRPr="00AE4FCC">
        <w:rPr>
          <w:color w:val="000000"/>
          <w:szCs w:val="24"/>
        </w:rPr>
        <w:t xml:space="preserve">, 871 F. Supp. 1254 (N.D. Cal. 1994), </w:t>
      </w:r>
      <w:r w:rsidR="00096351" w:rsidRPr="00AE4FCC">
        <w:rPr>
          <w:i/>
          <w:iCs/>
          <w:color w:val="000000"/>
          <w:szCs w:val="24"/>
        </w:rPr>
        <w:t xml:space="preserve">order clarified </w:t>
      </w:r>
      <w:r w:rsidR="00096351" w:rsidRPr="00AE4FCC">
        <w:rPr>
          <w:color w:val="000000"/>
          <w:szCs w:val="24"/>
        </w:rPr>
        <w:t xml:space="preserve">(Jan. 10, 1995). </w:t>
      </w:r>
    </w:p>
    <w:p w14:paraId="61F65D2C"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43615965"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In Re 2001 Redistricting Cases v. Redistricting Board</w:t>
      </w:r>
      <w:r w:rsidRPr="00AE4FCC">
        <w:rPr>
          <w:color w:val="000000"/>
          <w:szCs w:val="24"/>
        </w:rPr>
        <w:t xml:space="preserve"> (Alaska, 2002).</w:t>
      </w:r>
    </w:p>
    <w:p w14:paraId="08AF4D90"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483F46EF"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roofErr w:type="spellStart"/>
      <w:r w:rsidRPr="00AE4FCC">
        <w:rPr>
          <w:i/>
          <w:color w:val="000000"/>
          <w:szCs w:val="24"/>
        </w:rPr>
        <w:t>Cano</w:t>
      </w:r>
      <w:proofErr w:type="spellEnd"/>
      <w:r w:rsidRPr="00AE4FCC">
        <w:rPr>
          <w:i/>
          <w:color w:val="000000"/>
          <w:szCs w:val="24"/>
        </w:rPr>
        <w:t xml:space="preserve"> v. Davis</w:t>
      </w:r>
      <w:r w:rsidRPr="00AE4FCC">
        <w:rPr>
          <w:color w:val="000000"/>
          <w:szCs w:val="24"/>
        </w:rPr>
        <w:t xml:space="preserve">, 191 </w:t>
      </w:r>
      <w:proofErr w:type="spellStart"/>
      <w:r w:rsidRPr="00AE4FCC">
        <w:rPr>
          <w:color w:val="000000"/>
          <w:szCs w:val="24"/>
        </w:rPr>
        <w:t>F.Supp</w:t>
      </w:r>
      <w:proofErr w:type="spellEnd"/>
      <w:r w:rsidRPr="00AE4FCC">
        <w:rPr>
          <w:color w:val="000000"/>
          <w:szCs w:val="24"/>
        </w:rPr>
        <w:t>. 2d 1135 (C.D. Cal. 2002)</w:t>
      </w:r>
    </w:p>
    <w:p w14:paraId="3E910C73"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5D977882" w14:textId="77777777" w:rsidR="00DE5888" w:rsidRPr="00AE4FCC" w:rsidRDefault="00BD6321" w:rsidP="00096351">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Sessions v. Perry</w:t>
      </w:r>
      <w:r w:rsidRPr="00AE4FCC">
        <w:rPr>
          <w:color w:val="000000"/>
          <w:szCs w:val="24"/>
        </w:rPr>
        <w:t xml:space="preserve">, </w:t>
      </w:r>
      <w:r w:rsidR="00096351" w:rsidRPr="00AE4FCC">
        <w:rPr>
          <w:color w:val="000000"/>
          <w:szCs w:val="24"/>
        </w:rPr>
        <w:t xml:space="preserve">298 F. Supp. 2d 451 (E.D. Tex. 2004), </w:t>
      </w:r>
      <w:r w:rsidR="00096351" w:rsidRPr="00AE4FCC">
        <w:rPr>
          <w:i/>
          <w:iCs/>
          <w:color w:val="000000"/>
          <w:szCs w:val="24"/>
        </w:rPr>
        <w:t>vacated sub nom.</w:t>
      </w:r>
      <w:r w:rsidR="00096351" w:rsidRPr="00AE4FCC">
        <w:rPr>
          <w:color w:val="000000"/>
          <w:szCs w:val="24"/>
        </w:rPr>
        <w:t xml:space="preserve"> </w:t>
      </w:r>
      <w:r w:rsidR="00096351" w:rsidRPr="00AE4FCC">
        <w:rPr>
          <w:i/>
          <w:iCs/>
          <w:color w:val="000000"/>
          <w:szCs w:val="24"/>
        </w:rPr>
        <w:t>Henderson v. Perry</w:t>
      </w:r>
      <w:r w:rsidR="00096351" w:rsidRPr="00AE4FCC">
        <w:rPr>
          <w:color w:val="000000"/>
          <w:szCs w:val="24"/>
        </w:rPr>
        <w:t xml:space="preserve">, </w:t>
      </w:r>
    </w:p>
    <w:p w14:paraId="16F7002D" w14:textId="77777777" w:rsidR="00096351" w:rsidRPr="00AE4FCC" w:rsidRDefault="00DE5888" w:rsidP="00096351">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lastRenderedPageBreak/>
        <w:tab/>
      </w:r>
      <w:r w:rsidR="00096351" w:rsidRPr="00AE4FCC">
        <w:rPr>
          <w:color w:val="000000"/>
          <w:szCs w:val="24"/>
        </w:rPr>
        <w:t xml:space="preserve">543 U.S. 941 (2004), </w:t>
      </w:r>
      <w:r w:rsidR="00096351" w:rsidRPr="00AE4FCC">
        <w:rPr>
          <w:i/>
          <w:iCs/>
          <w:color w:val="000000"/>
          <w:szCs w:val="24"/>
        </w:rPr>
        <w:t>and vacated sub nom. Jackson v. Perry</w:t>
      </w:r>
      <w:r w:rsidR="00096351" w:rsidRPr="00AE4FCC">
        <w:rPr>
          <w:color w:val="000000"/>
          <w:szCs w:val="24"/>
        </w:rPr>
        <w:t xml:space="preserve">, 543 U.S. 941 (2004), and </w:t>
      </w:r>
    </w:p>
    <w:p w14:paraId="1CCE75DF" w14:textId="77777777" w:rsidR="00096351" w:rsidRPr="00AE4FCC" w:rsidRDefault="00096351" w:rsidP="00096351">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i/>
          <w:iCs/>
          <w:color w:val="000000"/>
          <w:szCs w:val="24"/>
        </w:rPr>
      </w:pPr>
      <w:r w:rsidRPr="00AE4FCC">
        <w:rPr>
          <w:color w:val="000000"/>
          <w:szCs w:val="24"/>
        </w:rPr>
        <w:tab/>
      </w:r>
      <w:r w:rsidRPr="00AE4FCC">
        <w:rPr>
          <w:i/>
          <w:iCs/>
          <w:color w:val="000000"/>
          <w:szCs w:val="24"/>
        </w:rPr>
        <w:t>vacated sub nom. Am. GI Forum of Texas v. Perry</w:t>
      </w:r>
      <w:r w:rsidRPr="00AE4FCC">
        <w:rPr>
          <w:color w:val="000000"/>
          <w:szCs w:val="24"/>
        </w:rPr>
        <w:t xml:space="preserve">, 543 U.S. 941 (2004), </w:t>
      </w:r>
      <w:r w:rsidRPr="00AE4FCC">
        <w:rPr>
          <w:i/>
          <w:iCs/>
          <w:color w:val="000000"/>
          <w:szCs w:val="24"/>
        </w:rPr>
        <w:t xml:space="preserve">and vacated sub </w:t>
      </w:r>
    </w:p>
    <w:p w14:paraId="378CB657" w14:textId="77777777" w:rsidR="00096351" w:rsidRPr="00AE4FCC" w:rsidRDefault="00096351" w:rsidP="00096351">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iCs/>
          <w:color w:val="000000"/>
          <w:szCs w:val="24"/>
        </w:rPr>
        <w:tab/>
        <w:t>nom. Lee v. Perry</w:t>
      </w:r>
      <w:r w:rsidRPr="00AE4FCC">
        <w:rPr>
          <w:color w:val="000000"/>
          <w:szCs w:val="24"/>
        </w:rPr>
        <w:t xml:space="preserve">, 543 U.S. 941 (2004), </w:t>
      </w:r>
      <w:r w:rsidRPr="00AE4FCC">
        <w:rPr>
          <w:i/>
          <w:iCs/>
          <w:color w:val="000000"/>
          <w:szCs w:val="24"/>
        </w:rPr>
        <w:t xml:space="preserve">and vacated sub nom. Travis </w:t>
      </w:r>
      <w:proofErr w:type="spellStart"/>
      <w:r w:rsidRPr="00AE4FCC">
        <w:rPr>
          <w:i/>
          <w:iCs/>
          <w:color w:val="000000"/>
          <w:szCs w:val="24"/>
        </w:rPr>
        <w:t>Cty</w:t>
      </w:r>
      <w:proofErr w:type="spellEnd"/>
      <w:r w:rsidRPr="00AE4FCC">
        <w:rPr>
          <w:i/>
          <w:iCs/>
          <w:color w:val="000000"/>
          <w:szCs w:val="24"/>
        </w:rPr>
        <w:t>., Tex. v. Perry</w:t>
      </w:r>
      <w:r w:rsidRPr="00AE4FCC">
        <w:rPr>
          <w:color w:val="000000"/>
          <w:szCs w:val="24"/>
        </w:rPr>
        <w:t xml:space="preserve">, </w:t>
      </w:r>
    </w:p>
    <w:p w14:paraId="2C3C08A4" w14:textId="77777777" w:rsidR="00BD6321" w:rsidRPr="00AE4FCC" w:rsidRDefault="00096351" w:rsidP="00096351">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b/>
        <w:t>543 U.S. 941 (2004).</w:t>
      </w:r>
    </w:p>
    <w:p w14:paraId="162437AC"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06788EE4"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left="720" w:hanging="720"/>
        <w:contextualSpacing/>
        <w:rPr>
          <w:color w:val="000000"/>
          <w:szCs w:val="24"/>
        </w:rPr>
      </w:pPr>
      <w:proofErr w:type="spellStart"/>
      <w:r w:rsidRPr="00AE4FCC">
        <w:rPr>
          <w:i/>
          <w:color w:val="000000"/>
          <w:szCs w:val="24"/>
        </w:rPr>
        <w:t>Farrahkan</w:t>
      </w:r>
      <w:proofErr w:type="spellEnd"/>
      <w:r w:rsidRPr="00AE4FCC">
        <w:rPr>
          <w:i/>
          <w:color w:val="000000"/>
          <w:szCs w:val="24"/>
        </w:rPr>
        <w:t xml:space="preserve"> v. Locke</w:t>
      </w:r>
      <w:r w:rsidRPr="00AE4FCC">
        <w:rPr>
          <w:color w:val="000000"/>
          <w:szCs w:val="24"/>
        </w:rPr>
        <w:t>, (Federal District Court, Washington State, D.C. No. CV-96-0076-RHW (2005); reversed by 9</w:t>
      </w:r>
      <w:r w:rsidRPr="00AE4FCC">
        <w:rPr>
          <w:color w:val="000000"/>
          <w:szCs w:val="24"/>
          <w:vertAlign w:val="superscript"/>
        </w:rPr>
        <w:t>th</w:t>
      </w:r>
      <w:r w:rsidRPr="00AE4FCC">
        <w:rPr>
          <w:color w:val="000000"/>
          <w:szCs w:val="24"/>
        </w:rPr>
        <w:t xml:space="preserve"> Cir. Ct. of Appeals, No. 06-35669 (Jan. 5, 2010)).</w:t>
      </w:r>
    </w:p>
    <w:p w14:paraId="5A0E664A"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75771E30"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left="720" w:hanging="720"/>
        <w:contextualSpacing/>
        <w:rPr>
          <w:color w:val="000000"/>
          <w:szCs w:val="24"/>
        </w:rPr>
      </w:pPr>
      <w:r w:rsidRPr="00AE4FCC">
        <w:rPr>
          <w:i/>
          <w:color w:val="000000"/>
          <w:szCs w:val="24"/>
        </w:rPr>
        <w:t>U.S. v. Osceola County, FL</w:t>
      </w:r>
      <w:r w:rsidRPr="00AE4FCC">
        <w:rPr>
          <w:color w:val="000000"/>
          <w:szCs w:val="24"/>
        </w:rPr>
        <w:t xml:space="preserve">, 475 </w:t>
      </w:r>
      <w:proofErr w:type="spellStart"/>
      <w:r w:rsidRPr="00AE4FCC">
        <w:rPr>
          <w:color w:val="000000"/>
          <w:szCs w:val="24"/>
        </w:rPr>
        <w:t>F.Supp</w:t>
      </w:r>
      <w:proofErr w:type="spellEnd"/>
      <w:r w:rsidRPr="00AE4FCC">
        <w:rPr>
          <w:color w:val="000000"/>
          <w:szCs w:val="24"/>
        </w:rPr>
        <w:t xml:space="preserve">. 2d 1220 (2006), later proceedings at 474 F. Supp. 2d 1254 (2006). </w:t>
      </w:r>
    </w:p>
    <w:p w14:paraId="75CE1A8F"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7EDDDB5A"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left="720" w:hanging="720"/>
        <w:contextualSpacing/>
        <w:rPr>
          <w:color w:val="000000"/>
          <w:szCs w:val="24"/>
        </w:rPr>
      </w:pPr>
      <w:r w:rsidRPr="00AE4FCC">
        <w:rPr>
          <w:i/>
          <w:color w:val="000000"/>
          <w:szCs w:val="24"/>
        </w:rPr>
        <w:t xml:space="preserve">American Civil Rights Foundation v. Los Angeles Unified School District </w:t>
      </w:r>
      <w:r w:rsidRPr="00AE4FCC">
        <w:rPr>
          <w:color w:val="000000"/>
          <w:szCs w:val="24"/>
        </w:rPr>
        <w:t>(Los Angeles County Super. Ct. No. BC341363) summary judgment granted to defendants and affirmed by Court of Appeal, Second Appellate District, Division 5, in B205943.</w:t>
      </w:r>
    </w:p>
    <w:p w14:paraId="20351232"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1CEF1BF5" w14:textId="77777777" w:rsidR="00BF5709"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Sanchez v. City of Modesto</w:t>
      </w:r>
      <w:r w:rsidRPr="00AE4FCC">
        <w:rPr>
          <w:color w:val="000000"/>
          <w:szCs w:val="24"/>
        </w:rPr>
        <w:t xml:space="preserve">, </w:t>
      </w:r>
      <w:r w:rsidR="00814B6B" w:rsidRPr="00AE4FCC">
        <w:rPr>
          <w:color w:val="000000"/>
          <w:szCs w:val="24"/>
        </w:rPr>
        <w:t xml:space="preserve">145 </w:t>
      </w:r>
      <w:proofErr w:type="spellStart"/>
      <w:r w:rsidR="00814B6B" w:rsidRPr="00AE4FCC">
        <w:rPr>
          <w:color w:val="000000"/>
          <w:szCs w:val="24"/>
        </w:rPr>
        <w:t>Cal.App</w:t>
      </w:r>
      <w:proofErr w:type="spellEnd"/>
      <w:r w:rsidR="00814B6B" w:rsidRPr="00AE4FCC">
        <w:rPr>
          <w:color w:val="000000"/>
          <w:szCs w:val="24"/>
        </w:rPr>
        <w:t>. 4th 660 (2006) (App. 5 Dist. Cal. 2007), cert. denied,</w:t>
      </w:r>
    </w:p>
    <w:p w14:paraId="2F07BD70" w14:textId="34FE5AEB" w:rsidR="00BD6321" w:rsidRPr="00AE4FCC" w:rsidRDefault="00BF5709"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Pr>
          <w:color w:val="000000"/>
          <w:szCs w:val="24"/>
        </w:rPr>
        <w:tab/>
      </w:r>
      <w:r w:rsidR="00814B6B" w:rsidRPr="00AE4FCC">
        <w:rPr>
          <w:color w:val="000000"/>
          <w:szCs w:val="24"/>
        </w:rPr>
        <w:t xml:space="preserve">552 U.S. 974 (2007), </w:t>
      </w:r>
      <w:r w:rsidR="00BD6321" w:rsidRPr="00AE4FCC">
        <w:rPr>
          <w:color w:val="000000"/>
          <w:szCs w:val="24"/>
        </w:rPr>
        <w:t>settled before trial.</w:t>
      </w:r>
    </w:p>
    <w:p w14:paraId="56FB5125"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0264E205" w14:textId="77777777" w:rsidR="00F34673"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Gomez v. Hanford</w:t>
      </w:r>
      <w:r w:rsidRPr="00AE4FCC">
        <w:rPr>
          <w:color w:val="000000"/>
          <w:szCs w:val="24"/>
        </w:rPr>
        <w:t xml:space="preserve"> Joint Union School District, </w:t>
      </w:r>
      <w:r w:rsidR="00304A5D" w:rsidRPr="00AE4FCC">
        <w:rPr>
          <w:color w:val="000000"/>
          <w:szCs w:val="24"/>
        </w:rPr>
        <w:t>No. 04C0294 (Kings Co. Super. Ct.),</w:t>
      </w:r>
      <w:r w:rsidR="00F34673" w:rsidRPr="00AE4FCC">
        <w:rPr>
          <w:color w:val="000000"/>
          <w:szCs w:val="24"/>
        </w:rPr>
        <w:t xml:space="preserve"> </w:t>
      </w:r>
      <w:r w:rsidRPr="00AE4FCC">
        <w:rPr>
          <w:color w:val="000000"/>
          <w:szCs w:val="24"/>
        </w:rPr>
        <w:t>settled</w:t>
      </w:r>
      <w:r w:rsidR="008F6761" w:rsidRPr="00AE4FCC">
        <w:rPr>
          <w:color w:val="000000"/>
          <w:szCs w:val="24"/>
        </w:rPr>
        <w:t xml:space="preserve">   </w:t>
      </w:r>
      <w:r w:rsidR="00BE2152" w:rsidRPr="00AE4FCC">
        <w:rPr>
          <w:color w:val="000000"/>
          <w:szCs w:val="24"/>
        </w:rPr>
        <w:t xml:space="preserve"> </w:t>
      </w:r>
    </w:p>
    <w:p w14:paraId="733F8AAB" w14:textId="77777777" w:rsidR="00BD6321" w:rsidRPr="00AE4FCC" w:rsidRDefault="00F34673"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i/>
          <w:color w:val="000000"/>
          <w:szCs w:val="24"/>
        </w:rPr>
      </w:pPr>
      <w:r w:rsidRPr="00AE4FCC">
        <w:rPr>
          <w:color w:val="000000"/>
          <w:szCs w:val="24"/>
        </w:rPr>
        <w:tab/>
      </w:r>
      <w:r w:rsidR="00BD6321" w:rsidRPr="00AE4FCC">
        <w:rPr>
          <w:color w:val="000000"/>
          <w:szCs w:val="24"/>
        </w:rPr>
        <w:t>before trial.</w:t>
      </w:r>
    </w:p>
    <w:p w14:paraId="67B7AC72"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i/>
          <w:color w:val="000000"/>
          <w:szCs w:val="24"/>
        </w:rPr>
      </w:pPr>
    </w:p>
    <w:p w14:paraId="0C5F7898" w14:textId="77777777" w:rsidR="00F34673"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Avitia v. Tulare County Local Healthcare District</w:t>
      </w:r>
      <w:r w:rsidRPr="00AE4FCC">
        <w:rPr>
          <w:color w:val="000000"/>
          <w:szCs w:val="24"/>
        </w:rPr>
        <w:t xml:space="preserve"> </w:t>
      </w:r>
      <w:r w:rsidR="00253FA1" w:rsidRPr="00AE4FCC">
        <w:rPr>
          <w:color w:val="000000"/>
          <w:szCs w:val="24"/>
        </w:rPr>
        <w:t>(</w:t>
      </w:r>
      <w:r w:rsidR="00304A5D" w:rsidRPr="00AE4FCC">
        <w:rPr>
          <w:color w:val="000000"/>
          <w:szCs w:val="24"/>
        </w:rPr>
        <w:t>07-224773</w:t>
      </w:r>
      <w:r w:rsidR="00253FA1" w:rsidRPr="00AE4FCC">
        <w:rPr>
          <w:color w:val="000000"/>
          <w:szCs w:val="24"/>
        </w:rPr>
        <w:t xml:space="preserve">, </w:t>
      </w:r>
      <w:r w:rsidR="00304A5D" w:rsidRPr="00AE4FCC">
        <w:rPr>
          <w:color w:val="000000"/>
          <w:szCs w:val="24"/>
        </w:rPr>
        <w:t xml:space="preserve">Sup. Ct. Tulare County), </w:t>
      </w:r>
      <w:r w:rsidRPr="00AE4FCC">
        <w:rPr>
          <w:color w:val="000000"/>
          <w:szCs w:val="24"/>
        </w:rPr>
        <w:t xml:space="preserve">settled </w:t>
      </w:r>
    </w:p>
    <w:p w14:paraId="45A21744" w14:textId="77777777" w:rsidR="00BD6321" w:rsidRPr="00AE4FCC" w:rsidRDefault="00F34673"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b/>
      </w:r>
      <w:r w:rsidR="00BD6321" w:rsidRPr="00AE4FCC">
        <w:rPr>
          <w:color w:val="000000"/>
          <w:szCs w:val="24"/>
        </w:rPr>
        <w:t>before trial.</w:t>
      </w:r>
    </w:p>
    <w:p w14:paraId="76636072"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5D77DFF6" w14:textId="77777777" w:rsidR="009B1206"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 xml:space="preserve">Gonzalez v. City of Compton, CA. </w:t>
      </w:r>
      <w:r w:rsidRPr="00AE4FCC">
        <w:rPr>
          <w:color w:val="000000"/>
          <w:szCs w:val="24"/>
        </w:rPr>
        <w:t xml:space="preserve">(Case No. BC 450494, Superior Court, Los Angeles County), </w:t>
      </w:r>
    </w:p>
    <w:p w14:paraId="5AD7C598" w14:textId="77777777" w:rsidR="00BD6321" w:rsidRPr="00AE4FCC" w:rsidRDefault="009B1206"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b/>
      </w:r>
      <w:r w:rsidR="00BD6321" w:rsidRPr="00AE4FCC">
        <w:rPr>
          <w:color w:val="000000"/>
          <w:szCs w:val="24"/>
        </w:rPr>
        <w:t>settled before trial.</w:t>
      </w:r>
    </w:p>
    <w:p w14:paraId="22C44145"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5E08C0DE" w14:textId="77777777" w:rsidR="00F34673"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i/>
          <w:color w:val="000000"/>
          <w:szCs w:val="24"/>
        </w:rPr>
      </w:pPr>
      <w:r w:rsidRPr="00AE4FCC">
        <w:rPr>
          <w:i/>
          <w:color w:val="000000"/>
          <w:szCs w:val="24"/>
        </w:rPr>
        <w:t>Perez v. Perry,</w:t>
      </w:r>
      <w:r w:rsidRPr="00AE4FCC">
        <w:rPr>
          <w:color w:val="000000"/>
          <w:szCs w:val="24"/>
        </w:rPr>
        <w:t xml:space="preserve"> 835 F. Supp. 2d 209 (W.D.</w:t>
      </w:r>
      <w:r w:rsidR="00F34673" w:rsidRPr="00AE4FCC">
        <w:rPr>
          <w:color w:val="000000"/>
          <w:szCs w:val="24"/>
        </w:rPr>
        <w:t xml:space="preserve"> </w:t>
      </w:r>
      <w:r w:rsidRPr="00AE4FCC">
        <w:rPr>
          <w:color w:val="000000"/>
          <w:szCs w:val="24"/>
        </w:rPr>
        <w:t>T</w:t>
      </w:r>
      <w:r w:rsidR="00304A5D" w:rsidRPr="00AE4FCC">
        <w:rPr>
          <w:color w:val="000000"/>
          <w:szCs w:val="24"/>
        </w:rPr>
        <w:t>e</w:t>
      </w:r>
      <w:r w:rsidRPr="00AE4FCC">
        <w:rPr>
          <w:color w:val="000000"/>
          <w:szCs w:val="24"/>
        </w:rPr>
        <w:t>x., San Antonio Div.</w:t>
      </w:r>
      <w:r w:rsidR="00304A5D" w:rsidRPr="00AE4FCC">
        <w:rPr>
          <w:color w:val="000000"/>
          <w:szCs w:val="24"/>
        </w:rPr>
        <w:t xml:space="preserve"> 2012), </w:t>
      </w:r>
      <w:r w:rsidR="00304A5D" w:rsidRPr="00AE4FCC">
        <w:rPr>
          <w:i/>
          <w:iCs/>
          <w:color w:val="000000"/>
          <w:szCs w:val="24"/>
        </w:rPr>
        <w:t>sub nom.</w:t>
      </w:r>
      <w:r w:rsidR="00304A5D" w:rsidRPr="00AE4FCC">
        <w:rPr>
          <w:color w:val="000000"/>
          <w:szCs w:val="24"/>
        </w:rPr>
        <w:t xml:space="preserve"> </w:t>
      </w:r>
      <w:r w:rsidR="00304A5D" w:rsidRPr="00AE4FCC">
        <w:rPr>
          <w:i/>
          <w:color w:val="000000"/>
          <w:szCs w:val="24"/>
        </w:rPr>
        <w:t xml:space="preserve">Vesey v. </w:t>
      </w:r>
    </w:p>
    <w:p w14:paraId="10DBE576" w14:textId="77777777" w:rsidR="00BD6321" w:rsidRPr="00AE4FCC" w:rsidRDefault="00304A5D" w:rsidP="00F34673">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left="720"/>
        <w:contextualSpacing/>
        <w:rPr>
          <w:color w:val="000000"/>
          <w:szCs w:val="24"/>
        </w:rPr>
      </w:pPr>
      <w:r w:rsidRPr="00AE4FCC">
        <w:rPr>
          <w:i/>
          <w:color w:val="000000"/>
          <w:szCs w:val="24"/>
        </w:rPr>
        <w:t>Perry</w:t>
      </w:r>
      <w:r w:rsidRPr="00AE4FCC">
        <w:rPr>
          <w:color w:val="000000"/>
          <w:szCs w:val="24"/>
        </w:rPr>
        <w:t xml:space="preserve">, 71 F. Supp. 3d 627 (S.D. Tex. 2014), </w:t>
      </w:r>
      <w:r w:rsidRPr="00AE4FCC">
        <w:rPr>
          <w:i/>
          <w:iCs/>
          <w:color w:val="000000"/>
          <w:szCs w:val="24"/>
        </w:rPr>
        <w:t>stay granted</w:t>
      </w:r>
      <w:r w:rsidRPr="00AE4FCC">
        <w:rPr>
          <w:color w:val="000000"/>
          <w:szCs w:val="24"/>
        </w:rPr>
        <w:t xml:space="preserve"> 769 F.3d 890 (5th Cir. 2014), </w:t>
      </w:r>
      <w:r w:rsidRPr="00AE4FCC">
        <w:rPr>
          <w:i/>
          <w:iCs/>
          <w:color w:val="000000"/>
          <w:szCs w:val="24"/>
        </w:rPr>
        <w:t>vacatur denied</w:t>
      </w:r>
      <w:r w:rsidRPr="00AE4FCC">
        <w:rPr>
          <w:color w:val="000000"/>
          <w:szCs w:val="24"/>
        </w:rPr>
        <w:t xml:space="preserve">, 135 </w:t>
      </w:r>
      <w:proofErr w:type="spellStart"/>
      <w:r w:rsidRPr="00AE4FCC">
        <w:rPr>
          <w:color w:val="000000"/>
          <w:szCs w:val="24"/>
        </w:rPr>
        <w:t>S.Ct</w:t>
      </w:r>
      <w:proofErr w:type="spellEnd"/>
      <w:r w:rsidRPr="00AE4FCC">
        <w:rPr>
          <w:color w:val="000000"/>
          <w:szCs w:val="24"/>
        </w:rPr>
        <w:t>. 9 (2014)</w:t>
      </w:r>
      <w:r w:rsidR="005B06C1" w:rsidRPr="00AE4FCC">
        <w:rPr>
          <w:color w:val="000000"/>
          <w:szCs w:val="24"/>
        </w:rPr>
        <w:t xml:space="preserve">, further proceedings </w:t>
      </w:r>
      <w:r w:rsidR="005B06C1" w:rsidRPr="00AE4FCC">
        <w:rPr>
          <w:i/>
          <w:color w:val="000000"/>
          <w:szCs w:val="24"/>
        </w:rPr>
        <w:t>sub nom</w:t>
      </w:r>
      <w:r w:rsidR="005B06C1" w:rsidRPr="00AE4FCC">
        <w:rPr>
          <w:color w:val="000000"/>
          <w:szCs w:val="24"/>
        </w:rPr>
        <w:t xml:space="preserve">. </w:t>
      </w:r>
      <w:r w:rsidR="005B06C1" w:rsidRPr="00AE4FCC">
        <w:rPr>
          <w:i/>
          <w:color w:val="000000"/>
          <w:szCs w:val="24"/>
        </w:rPr>
        <w:t>Perez v. Abbott</w:t>
      </w:r>
      <w:r w:rsidR="005B06C1" w:rsidRPr="00AE4FCC">
        <w:rPr>
          <w:color w:val="000000"/>
          <w:szCs w:val="24"/>
        </w:rPr>
        <w:t>, 250 F.Supp.3d 123 (W.D.</w:t>
      </w:r>
      <w:r w:rsidR="00F34673" w:rsidRPr="00AE4FCC">
        <w:rPr>
          <w:color w:val="000000"/>
          <w:szCs w:val="24"/>
        </w:rPr>
        <w:t xml:space="preserve"> </w:t>
      </w:r>
      <w:r w:rsidR="005B06C1" w:rsidRPr="00AE4FCC">
        <w:rPr>
          <w:color w:val="000000"/>
          <w:szCs w:val="24"/>
        </w:rPr>
        <w:t>Tex., San Antonio Div., 2017)</w:t>
      </w:r>
      <w:r w:rsidRPr="00AE4FCC">
        <w:rPr>
          <w:color w:val="000000"/>
          <w:szCs w:val="24"/>
        </w:rPr>
        <w:t>.</w:t>
      </w:r>
    </w:p>
    <w:p w14:paraId="5EFE870E"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3BD74136" w14:textId="77777777" w:rsidR="00093F0A"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Texas v. U.S.</w:t>
      </w:r>
      <w:r w:rsidRPr="00AE4FCC">
        <w:rPr>
          <w:color w:val="000000"/>
          <w:szCs w:val="24"/>
        </w:rPr>
        <w:t>, (C.A. No. 1:11-cv-01303, D.D.C.), decided Aug. 28, 2012</w:t>
      </w:r>
      <w:r w:rsidR="00304A5D" w:rsidRPr="00AE4FCC">
        <w:rPr>
          <w:color w:val="000000"/>
          <w:szCs w:val="24"/>
        </w:rPr>
        <w:t xml:space="preserve">, 887 </w:t>
      </w:r>
      <w:proofErr w:type="spellStart"/>
      <w:r w:rsidR="00304A5D" w:rsidRPr="00AE4FCC">
        <w:rPr>
          <w:color w:val="000000"/>
          <w:szCs w:val="24"/>
        </w:rPr>
        <w:t>F.Supp</w:t>
      </w:r>
      <w:proofErr w:type="spellEnd"/>
      <w:r w:rsidR="00304A5D" w:rsidRPr="00AE4FCC">
        <w:rPr>
          <w:color w:val="000000"/>
          <w:szCs w:val="24"/>
        </w:rPr>
        <w:t xml:space="preserve">. 2d 133 </w:t>
      </w:r>
    </w:p>
    <w:p w14:paraId="658FFDD9" w14:textId="4BED76A1" w:rsidR="00BD6321" w:rsidRPr="00AE4FCC" w:rsidRDefault="00093F0A"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Pr>
          <w:color w:val="000000"/>
          <w:szCs w:val="24"/>
        </w:rPr>
        <w:tab/>
      </w:r>
      <w:r w:rsidR="00304A5D" w:rsidRPr="00AE4FCC">
        <w:rPr>
          <w:color w:val="000000"/>
          <w:szCs w:val="24"/>
        </w:rPr>
        <w:t xml:space="preserve">(D.D.C. 2012), </w:t>
      </w:r>
      <w:r w:rsidR="00304A5D" w:rsidRPr="00AE4FCC">
        <w:rPr>
          <w:i/>
          <w:iCs/>
          <w:color w:val="000000"/>
          <w:szCs w:val="24"/>
        </w:rPr>
        <w:t>vacated and remanded on other grounds</w:t>
      </w:r>
      <w:r w:rsidR="00304A5D" w:rsidRPr="00AE4FCC">
        <w:rPr>
          <w:color w:val="000000"/>
          <w:szCs w:val="24"/>
        </w:rPr>
        <w:t>, 133 S. Ct. 2885 (2013)</w:t>
      </w:r>
      <w:r w:rsidR="00BD6321" w:rsidRPr="00AE4FCC">
        <w:rPr>
          <w:color w:val="000000"/>
          <w:szCs w:val="24"/>
        </w:rPr>
        <w:t>.</w:t>
      </w:r>
    </w:p>
    <w:p w14:paraId="600A5EE6"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08E77B12" w14:textId="77777777" w:rsidR="00F34673"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Texas v. Holder</w:t>
      </w:r>
      <w:r w:rsidRPr="00AE4FCC">
        <w:rPr>
          <w:color w:val="000000"/>
          <w:szCs w:val="24"/>
        </w:rPr>
        <w:t xml:space="preserve">, (C.A. No. 1:12-cv-00128-RMC-DST-RLW, D.D.C.), </w:t>
      </w:r>
      <w:r w:rsidR="0028749D" w:rsidRPr="00AE4FCC">
        <w:rPr>
          <w:color w:val="000000"/>
          <w:szCs w:val="24"/>
        </w:rPr>
        <w:t xml:space="preserve">888 F. Supp. 2d 113 </w:t>
      </w:r>
    </w:p>
    <w:p w14:paraId="33690907" w14:textId="77777777" w:rsidR="00BD6321" w:rsidRPr="00AE4FCC" w:rsidRDefault="00F34673"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b/>
      </w:r>
      <w:r w:rsidR="0028749D" w:rsidRPr="00AE4FCC">
        <w:rPr>
          <w:color w:val="000000"/>
          <w:szCs w:val="24"/>
        </w:rPr>
        <w:t>(D.D.C.</w:t>
      </w:r>
      <w:r w:rsidRPr="00AE4FCC">
        <w:rPr>
          <w:color w:val="000000"/>
          <w:szCs w:val="24"/>
        </w:rPr>
        <w:t xml:space="preserve"> </w:t>
      </w:r>
      <w:r w:rsidR="00700533" w:rsidRPr="00AE4FCC">
        <w:rPr>
          <w:color w:val="000000"/>
          <w:szCs w:val="24"/>
        </w:rPr>
        <w:t xml:space="preserve">2012), </w:t>
      </w:r>
      <w:r w:rsidR="00BD6321" w:rsidRPr="00AE4FCC">
        <w:rPr>
          <w:color w:val="000000"/>
          <w:szCs w:val="24"/>
        </w:rPr>
        <w:t>decided Aug. 30, 2012.</w:t>
      </w:r>
    </w:p>
    <w:p w14:paraId="5F8C20D1"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1DD3D283"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Jauregui v. City of Palmdale, California</w:t>
      </w:r>
      <w:r w:rsidRPr="00AE4FCC">
        <w:rPr>
          <w:color w:val="000000"/>
          <w:szCs w:val="24"/>
        </w:rPr>
        <w:t xml:space="preserve"> (Case No. BC483039), decided July 23, 2013.</w:t>
      </w:r>
    </w:p>
    <w:p w14:paraId="623FA43C"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3E8C77ED"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Soliz v. City of Santa Clarita</w:t>
      </w:r>
      <w:r w:rsidRPr="00AE4FCC">
        <w:rPr>
          <w:color w:val="000000"/>
          <w:szCs w:val="24"/>
        </w:rPr>
        <w:t xml:space="preserve"> (LASC Case No. BC512735), settled before trial.</w:t>
      </w:r>
    </w:p>
    <w:p w14:paraId="2DE188AE"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40453CEC" w14:textId="77777777" w:rsidR="009B1206"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lastRenderedPageBreak/>
        <w:t>Soliz v. Santa Clarita Community College District</w:t>
      </w:r>
      <w:r w:rsidRPr="00AE4FCC">
        <w:rPr>
          <w:color w:val="000000"/>
          <w:szCs w:val="24"/>
        </w:rPr>
        <w:t xml:space="preserve"> (LASC Case No. BC512736), settled before </w:t>
      </w:r>
    </w:p>
    <w:p w14:paraId="3B3F0F0A" w14:textId="77777777" w:rsidR="00BD6321" w:rsidRPr="00AE4FCC" w:rsidRDefault="009B1206"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b/>
      </w:r>
      <w:r w:rsidR="00BD6321" w:rsidRPr="00AE4FCC">
        <w:rPr>
          <w:color w:val="000000"/>
          <w:szCs w:val="24"/>
        </w:rPr>
        <w:t>trial.</w:t>
      </w:r>
    </w:p>
    <w:p w14:paraId="7D30BC49" w14:textId="77777777" w:rsidR="002410CB" w:rsidRPr="00AE4FCC" w:rsidRDefault="002410CB"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51B42B90" w14:textId="77777777" w:rsidR="009B1206" w:rsidRPr="00AE4FCC" w:rsidRDefault="002410CB"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Banales v. City of Santa Barbara</w:t>
      </w:r>
      <w:r w:rsidRPr="00AE4FCC">
        <w:rPr>
          <w:color w:val="000000"/>
          <w:szCs w:val="24"/>
        </w:rPr>
        <w:t xml:space="preserve"> (Case No. 1468167, Superior Court, Santa Barbara County), </w:t>
      </w:r>
    </w:p>
    <w:p w14:paraId="07F814A6" w14:textId="77777777" w:rsidR="002410CB" w:rsidRPr="00AE4FCC" w:rsidRDefault="009B1206"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b/>
      </w:r>
      <w:r w:rsidR="002410CB" w:rsidRPr="00AE4FCC">
        <w:rPr>
          <w:color w:val="000000"/>
          <w:szCs w:val="24"/>
        </w:rPr>
        <w:t>settled before trial</w:t>
      </w:r>
      <w:r w:rsidR="00DF3C70" w:rsidRPr="00AE4FCC">
        <w:rPr>
          <w:color w:val="000000"/>
          <w:szCs w:val="24"/>
        </w:rPr>
        <w:t>, 2014</w:t>
      </w:r>
      <w:r w:rsidR="002410CB" w:rsidRPr="00AE4FCC">
        <w:rPr>
          <w:color w:val="000000"/>
          <w:szCs w:val="24"/>
        </w:rPr>
        <w:t>.</w:t>
      </w:r>
    </w:p>
    <w:p w14:paraId="533CD5E8"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5FE7088F" w14:textId="77777777" w:rsidR="00F34673"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i/>
          <w:szCs w:val="24"/>
        </w:rPr>
      </w:pPr>
      <w:r w:rsidRPr="00AE4FCC">
        <w:rPr>
          <w:i/>
          <w:color w:val="000000"/>
          <w:szCs w:val="24"/>
        </w:rPr>
        <w:t xml:space="preserve">League of Women Voters v. </w:t>
      </w:r>
      <w:r w:rsidR="00911954" w:rsidRPr="00AE4FCC">
        <w:rPr>
          <w:i/>
          <w:color w:val="000000"/>
          <w:szCs w:val="24"/>
        </w:rPr>
        <w:t>McCrory</w:t>
      </w:r>
      <w:r w:rsidR="00911954" w:rsidRPr="00AE4FCC">
        <w:rPr>
          <w:color w:val="000000"/>
          <w:szCs w:val="24"/>
        </w:rPr>
        <w:t xml:space="preserve"> (</w:t>
      </w:r>
      <w:r w:rsidR="00911954" w:rsidRPr="00AE4FCC">
        <w:rPr>
          <w:szCs w:val="24"/>
        </w:rPr>
        <w:t>Case No. 1:13CV658, M.D. N.C.,</w:t>
      </w:r>
      <w:r w:rsidR="00DF3C70" w:rsidRPr="00AE4FCC">
        <w:rPr>
          <w:szCs w:val="24"/>
        </w:rPr>
        <w:t xml:space="preserve"> decided as </w:t>
      </w:r>
      <w:r w:rsidR="00DF3C70" w:rsidRPr="00AE4FCC">
        <w:rPr>
          <w:i/>
          <w:szCs w:val="24"/>
        </w:rPr>
        <w:t xml:space="preserve">N.C. State </w:t>
      </w:r>
    </w:p>
    <w:p w14:paraId="3D4049A4" w14:textId="77777777" w:rsidR="00BD6321" w:rsidRPr="00AE4FCC" w:rsidRDefault="00DF3C70" w:rsidP="00F34673">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left="720"/>
        <w:contextualSpacing/>
        <w:rPr>
          <w:color w:val="000000"/>
          <w:szCs w:val="24"/>
        </w:rPr>
      </w:pPr>
      <w:r w:rsidRPr="00AE4FCC">
        <w:rPr>
          <w:i/>
          <w:szCs w:val="24"/>
        </w:rPr>
        <w:t>Conf. of the NAACP v. McCrory</w:t>
      </w:r>
      <w:r w:rsidRPr="00AE4FCC">
        <w:rPr>
          <w:szCs w:val="24"/>
        </w:rPr>
        <w:t xml:space="preserve">, 2016 WL 1650774 (M.D.N.C. Apr. 25, 2016), </w:t>
      </w:r>
      <w:proofErr w:type="spellStart"/>
      <w:r w:rsidRPr="00AE4FCC">
        <w:rPr>
          <w:szCs w:val="24"/>
        </w:rPr>
        <w:t>rev’d</w:t>
      </w:r>
      <w:proofErr w:type="spellEnd"/>
      <w:r w:rsidRPr="00AE4FCC">
        <w:rPr>
          <w:szCs w:val="24"/>
        </w:rPr>
        <w:t xml:space="preserve"> </w:t>
      </w:r>
      <w:r w:rsidR="003714E4" w:rsidRPr="00AE4FCC">
        <w:rPr>
          <w:szCs w:val="24"/>
        </w:rPr>
        <w:t>831 F.3d 204 (4</w:t>
      </w:r>
      <w:r w:rsidR="003714E4" w:rsidRPr="00AE4FCC">
        <w:rPr>
          <w:szCs w:val="24"/>
          <w:vertAlign w:val="superscript"/>
        </w:rPr>
        <w:t>th</w:t>
      </w:r>
      <w:r w:rsidR="003714E4" w:rsidRPr="00AE4FCC">
        <w:rPr>
          <w:szCs w:val="24"/>
        </w:rPr>
        <w:t xml:space="preserve"> Cir. 2016), </w:t>
      </w:r>
      <w:r w:rsidR="003714E4" w:rsidRPr="00AE4FCC">
        <w:rPr>
          <w:i/>
          <w:iCs/>
          <w:szCs w:val="24"/>
        </w:rPr>
        <w:t>cert. denied</w:t>
      </w:r>
      <w:r w:rsidR="003714E4" w:rsidRPr="00AE4FCC">
        <w:rPr>
          <w:szCs w:val="24"/>
        </w:rPr>
        <w:t xml:space="preserve">, </w:t>
      </w:r>
      <w:r w:rsidR="003714E4" w:rsidRPr="00AE4FCC">
        <w:rPr>
          <w:i/>
          <w:szCs w:val="24"/>
        </w:rPr>
        <w:t>sub nom. N.C. v. N.C. State Conf. of the NAACP</w:t>
      </w:r>
      <w:r w:rsidR="003714E4" w:rsidRPr="00AE4FCC">
        <w:rPr>
          <w:szCs w:val="24"/>
        </w:rPr>
        <w:t>, 2017 U.S. LEXIS 2947 (U.S., May 15, 2017)</w:t>
      </w:r>
      <w:r w:rsidRPr="00AE4FCC">
        <w:rPr>
          <w:szCs w:val="24"/>
        </w:rPr>
        <w:t>.</w:t>
      </w:r>
    </w:p>
    <w:p w14:paraId="6655DD6F" w14:textId="77777777" w:rsidR="000F4997" w:rsidRPr="00AE4FCC" w:rsidRDefault="000F4997"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071CE8C2" w14:textId="77777777" w:rsidR="00F34673" w:rsidRPr="00AE4FCC" w:rsidRDefault="000F4997"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Georgia State Conference of the NAACP v. Fayette County [Georgia] Board of Commissioners</w:t>
      </w:r>
      <w:r w:rsidRPr="00AE4FCC">
        <w:rPr>
          <w:color w:val="000000"/>
          <w:szCs w:val="24"/>
        </w:rPr>
        <w:t xml:space="preserve"> </w:t>
      </w:r>
    </w:p>
    <w:p w14:paraId="7B1A107F" w14:textId="77777777" w:rsidR="000F4997" w:rsidRPr="00AE4FCC" w:rsidRDefault="00F34673"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b/>
      </w:r>
      <w:r w:rsidR="000F4997" w:rsidRPr="00AE4FCC">
        <w:rPr>
          <w:color w:val="000000"/>
          <w:szCs w:val="24"/>
        </w:rPr>
        <w:t>(CA No. 3:11-CV-123-TCB), settled before trial</w:t>
      </w:r>
      <w:r w:rsidR="00DF3C70" w:rsidRPr="00AE4FCC">
        <w:rPr>
          <w:color w:val="000000"/>
          <w:szCs w:val="24"/>
        </w:rPr>
        <w:t>, 2015</w:t>
      </w:r>
      <w:r w:rsidR="000F4997" w:rsidRPr="00AE4FCC">
        <w:rPr>
          <w:color w:val="000000"/>
          <w:szCs w:val="24"/>
        </w:rPr>
        <w:t>.</w:t>
      </w:r>
    </w:p>
    <w:p w14:paraId="31F7D6EB" w14:textId="77777777" w:rsidR="00835A10" w:rsidRPr="00AE4FCC" w:rsidRDefault="00835A10"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0BFCB5BD" w14:textId="77777777" w:rsidR="00287BA8" w:rsidRPr="00AE4FCC" w:rsidRDefault="00287BA8"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Garrett v. City of Highland</w:t>
      </w:r>
      <w:r w:rsidRPr="00AE4FCC">
        <w:rPr>
          <w:color w:val="000000"/>
          <w:szCs w:val="24"/>
        </w:rPr>
        <w:t xml:space="preserve"> (Case No. CIVDS 1410696, Superior Court, </w:t>
      </w:r>
      <w:r w:rsidR="00AE4D0A" w:rsidRPr="00AE4FCC">
        <w:rPr>
          <w:color w:val="000000"/>
          <w:szCs w:val="24"/>
        </w:rPr>
        <w:t>San Bernar</w:t>
      </w:r>
      <w:r w:rsidRPr="00AE4FCC">
        <w:rPr>
          <w:color w:val="000000"/>
          <w:szCs w:val="24"/>
        </w:rPr>
        <w:t xml:space="preserve">dino County), </w:t>
      </w:r>
    </w:p>
    <w:p w14:paraId="78D4C842" w14:textId="77777777" w:rsidR="00287BA8" w:rsidRPr="00AE4FCC" w:rsidRDefault="00287BA8"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b/>
        <w:t>Decided Jan. 19, 2016.</w:t>
      </w:r>
    </w:p>
    <w:p w14:paraId="16137973" w14:textId="77777777" w:rsidR="003359E7" w:rsidRPr="00AE4FCC" w:rsidRDefault="003359E7"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0426F2CB" w14:textId="77777777" w:rsidR="003359E7" w:rsidRPr="00AE4FCC" w:rsidRDefault="003359E7"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Jaramillo v. City of Fullerton</w:t>
      </w:r>
      <w:r w:rsidRPr="00AE4FCC">
        <w:rPr>
          <w:color w:val="000000"/>
          <w:szCs w:val="24"/>
        </w:rPr>
        <w:t>, settled before trial</w:t>
      </w:r>
      <w:r w:rsidR="00DF3C70" w:rsidRPr="00AE4FCC">
        <w:rPr>
          <w:color w:val="000000"/>
          <w:szCs w:val="24"/>
        </w:rPr>
        <w:t>, 2015</w:t>
      </w:r>
      <w:r w:rsidRPr="00AE4FCC">
        <w:rPr>
          <w:color w:val="000000"/>
          <w:szCs w:val="24"/>
        </w:rPr>
        <w:t>.</w:t>
      </w:r>
    </w:p>
    <w:p w14:paraId="653D0A32" w14:textId="77777777" w:rsidR="00F52557" w:rsidRPr="00AE4FCC" w:rsidRDefault="00F52557"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71BCFFB2" w14:textId="77777777" w:rsidR="00F52557" w:rsidRPr="00AE4FCC" w:rsidRDefault="00F52557"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Burgess v. City of Banning</w:t>
      </w:r>
      <w:r w:rsidRPr="00AE4FCC">
        <w:rPr>
          <w:color w:val="000000"/>
          <w:szCs w:val="24"/>
        </w:rPr>
        <w:t>, RIC 1603770 (Riverside Superior Court</w:t>
      </w:r>
      <w:r w:rsidR="00DF3C70" w:rsidRPr="00AE4FCC">
        <w:rPr>
          <w:color w:val="000000"/>
          <w:szCs w:val="24"/>
        </w:rPr>
        <w:t>, 2016</w:t>
      </w:r>
      <w:r w:rsidRPr="00AE4FCC">
        <w:rPr>
          <w:color w:val="000000"/>
          <w:szCs w:val="24"/>
        </w:rPr>
        <w:t>), settled before trial.</w:t>
      </w:r>
    </w:p>
    <w:p w14:paraId="7AAA4034" w14:textId="77777777" w:rsidR="00F52557" w:rsidRPr="00AE4FCC" w:rsidRDefault="00F52557"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706E047F" w14:textId="77777777" w:rsidR="00F52557" w:rsidRPr="00AE4FCC" w:rsidRDefault="00F52557"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SVREP</w:t>
      </w:r>
      <w:r w:rsidRPr="00AE4FCC">
        <w:rPr>
          <w:color w:val="000000"/>
          <w:szCs w:val="24"/>
        </w:rPr>
        <w:t xml:space="preserve"> </w:t>
      </w:r>
      <w:r w:rsidRPr="00AE4FCC">
        <w:rPr>
          <w:i/>
          <w:color w:val="000000"/>
          <w:szCs w:val="24"/>
        </w:rPr>
        <w:t>v. City of Rancho Cucamonga</w:t>
      </w:r>
      <w:r w:rsidRPr="00AE4FCC">
        <w:rPr>
          <w:color w:val="000000"/>
          <w:szCs w:val="24"/>
        </w:rPr>
        <w:t xml:space="preserve">, </w:t>
      </w:r>
      <w:r w:rsidR="00E9389B" w:rsidRPr="00AE4FCC">
        <w:rPr>
          <w:color w:val="000000"/>
          <w:szCs w:val="24"/>
        </w:rPr>
        <w:t>settled before trial.</w:t>
      </w:r>
    </w:p>
    <w:p w14:paraId="47AF74D9" w14:textId="77777777" w:rsidR="00AB13FB" w:rsidRPr="00AE4FCC" w:rsidRDefault="00AB13FB"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31227449" w14:textId="77777777" w:rsidR="00AB13FB" w:rsidRPr="00AE4FCC" w:rsidRDefault="00AB13FB"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Sanchez v. City of West Covina, CA</w:t>
      </w:r>
      <w:r w:rsidRPr="00AE4FCC">
        <w:rPr>
          <w:color w:val="000000"/>
          <w:szCs w:val="24"/>
        </w:rPr>
        <w:t>, BC634674, 2017</w:t>
      </w:r>
      <w:r w:rsidR="00E9389B" w:rsidRPr="00AE4FCC">
        <w:rPr>
          <w:color w:val="000000"/>
          <w:szCs w:val="24"/>
        </w:rPr>
        <w:t>, settled before trial.</w:t>
      </w:r>
    </w:p>
    <w:p w14:paraId="11D3EAFD" w14:textId="77777777" w:rsidR="005072C6" w:rsidRPr="00AE4FCC" w:rsidRDefault="005072C6"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7703ECDF" w14:textId="77777777" w:rsidR="00265B1B" w:rsidRDefault="00363ED2" w:rsidP="008421F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i/>
          <w:color w:val="000000"/>
          <w:szCs w:val="24"/>
        </w:rPr>
      </w:pPr>
      <w:r w:rsidRPr="00AE4FCC">
        <w:rPr>
          <w:i/>
          <w:color w:val="000000"/>
          <w:szCs w:val="24"/>
        </w:rPr>
        <w:t>Greater Birmingham Ministries v. State of Alabama</w:t>
      </w:r>
      <w:r w:rsidR="00907FA4" w:rsidRPr="00AE4FCC">
        <w:rPr>
          <w:i/>
          <w:color w:val="000000"/>
          <w:szCs w:val="24"/>
        </w:rPr>
        <w:t xml:space="preserve"> </w:t>
      </w:r>
      <w:r w:rsidR="00907FA4" w:rsidRPr="00AE4FCC">
        <w:rPr>
          <w:color w:val="000000"/>
          <w:szCs w:val="24"/>
        </w:rPr>
        <w:t>C.A. No. 2:15-cv-02193-LSC (N.D. Ala.)</w:t>
      </w:r>
      <w:r w:rsidR="00907FA4" w:rsidRPr="00AE4FCC">
        <w:rPr>
          <w:i/>
          <w:color w:val="000000"/>
          <w:szCs w:val="24"/>
        </w:rPr>
        <w:t>,</w:t>
      </w:r>
      <w:r w:rsidR="008F6761" w:rsidRPr="00AE4FCC">
        <w:rPr>
          <w:i/>
          <w:color w:val="000000"/>
          <w:szCs w:val="24"/>
        </w:rPr>
        <w:t xml:space="preserve"> </w:t>
      </w:r>
    </w:p>
    <w:p w14:paraId="09EAB6EB" w14:textId="4B9FA9A8" w:rsidR="005072C6" w:rsidRPr="008421F4" w:rsidRDefault="008421F4" w:rsidP="00265B1B">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left="720"/>
        <w:contextualSpacing/>
        <w:rPr>
          <w:iCs/>
          <w:color w:val="000000"/>
          <w:szCs w:val="24"/>
        </w:rPr>
      </w:pPr>
      <w:r w:rsidRPr="008421F4">
        <w:rPr>
          <w:iCs/>
          <w:color w:val="000000"/>
          <w:szCs w:val="24"/>
        </w:rPr>
        <w:t xml:space="preserve">161 </w:t>
      </w:r>
      <w:proofErr w:type="spellStart"/>
      <w:r w:rsidRPr="008421F4">
        <w:rPr>
          <w:iCs/>
          <w:color w:val="000000"/>
          <w:szCs w:val="24"/>
        </w:rPr>
        <w:t>F.Supp</w:t>
      </w:r>
      <w:proofErr w:type="spellEnd"/>
      <w:r w:rsidRPr="008421F4">
        <w:rPr>
          <w:iCs/>
          <w:color w:val="000000"/>
          <w:szCs w:val="24"/>
        </w:rPr>
        <w:t xml:space="preserve">. 3d 1104 (N.D. Ala. 2016), 284 </w:t>
      </w:r>
      <w:proofErr w:type="spellStart"/>
      <w:r w:rsidRPr="008421F4">
        <w:rPr>
          <w:iCs/>
          <w:color w:val="000000"/>
          <w:szCs w:val="24"/>
        </w:rPr>
        <w:t>F.Supp</w:t>
      </w:r>
      <w:proofErr w:type="spellEnd"/>
      <w:r w:rsidRPr="008421F4">
        <w:rPr>
          <w:iCs/>
          <w:color w:val="000000"/>
          <w:szCs w:val="24"/>
        </w:rPr>
        <w:t>. 3d 1253 (N.D. Ala., 2018), aff'd 966 F.3d 1202 (11th Cir., July 21, 2020), vacated and substituted 992 F.3d 1299 (11th Cir., April 9,2021), rehearing denied by, En banc, 997 F.3d 1363 (11th Cir., June 1, 2021)</w:t>
      </w:r>
    </w:p>
    <w:p w14:paraId="0C780208" w14:textId="77777777" w:rsidR="00AB13FB" w:rsidRPr="00AE4FCC" w:rsidRDefault="00AB13FB"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72F2AA45" w14:textId="77777777" w:rsidR="00AB13FB" w:rsidRPr="00AE4FCC" w:rsidRDefault="00AB13FB"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HQH Chinese American Equalization Association v. The City of Arcadia</w:t>
      </w:r>
      <w:r w:rsidRPr="00AE4FCC">
        <w:rPr>
          <w:color w:val="000000"/>
          <w:szCs w:val="24"/>
        </w:rPr>
        <w:t>,</w:t>
      </w:r>
      <w:r w:rsidR="00552900" w:rsidRPr="00AE4FCC">
        <w:rPr>
          <w:color w:val="000000"/>
          <w:szCs w:val="24"/>
        </w:rPr>
        <w:t xml:space="preserve"> settled before trial</w:t>
      </w:r>
      <w:r w:rsidRPr="00AE4FCC">
        <w:rPr>
          <w:color w:val="000000"/>
          <w:szCs w:val="24"/>
        </w:rPr>
        <w:t>.</w:t>
      </w:r>
    </w:p>
    <w:p w14:paraId="627B1033" w14:textId="77777777" w:rsidR="00AB13FB" w:rsidRPr="00AE4FCC" w:rsidRDefault="00AB13FB"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26296D8A" w14:textId="77777777" w:rsidR="0032603D" w:rsidRPr="00AE4FCC" w:rsidRDefault="0001358A"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 xml:space="preserve">Luna v. County </w:t>
      </w:r>
      <w:r w:rsidR="00E417A6" w:rsidRPr="00AE4FCC">
        <w:rPr>
          <w:i/>
          <w:color w:val="000000"/>
          <w:szCs w:val="24"/>
        </w:rPr>
        <w:t>of Kern</w:t>
      </w:r>
      <w:r w:rsidRPr="00AE4FCC">
        <w:rPr>
          <w:color w:val="000000"/>
          <w:szCs w:val="24"/>
        </w:rPr>
        <w:t xml:space="preserve">, </w:t>
      </w:r>
      <w:r w:rsidR="00E417A6" w:rsidRPr="00AE4FCC">
        <w:rPr>
          <w:color w:val="000000"/>
          <w:szCs w:val="24"/>
        </w:rPr>
        <w:t>291 F.Supp.3d 1088 (</w:t>
      </w:r>
      <w:r w:rsidR="00DE5888" w:rsidRPr="00AE4FCC">
        <w:rPr>
          <w:color w:val="000000"/>
          <w:szCs w:val="24"/>
        </w:rPr>
        <w:t xml:space="preserve">E.D. Cal. </w:t>
      </w:r>
      <w:r w:rsidR="00E417A6" w:rsidRPr="00AE4FCC">
        <w:rPr>
          <w:color w:val="000000"/>
          <w:szCs w:val="24"/>
        </w:rPr>
        <w:t>2018).</w:t>
      </w:r>
      <w:r w:rsidR="008F6761" w:rsidRPr="00AE4FCC">
        <w:rPr>
          <w:color w:val="000000"/>
          <w:szCs w:val="24"/>
        </w:rPr>
        <w:t xml:space="preserve"> </w:t>
      </w:r>
    </w:p>
    <w:p w14:paraId="1E5C0806" w14:textId="77777777" w:rsidR="00E417A6" w:rsidRPr="00AE4FCC" w:rsidRDefault="00E417A6"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4BAC8D32" w14:textId="77777777" w:rsidR="00F34673" w:rsidRPr="00AE4FCC" w:rsidRDefault="0032603D"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roofErr w:type="spellStart"/>
      <w:r w:rsidRPr="00AE4FCC">
        <w:rPr>
          <w:i/>
          <w:color w:val="000000"/>
          <w:szCs w:val="24"/>
        </w:rPr>
        <w:t>Yumori</w:t>
      </w:r>
      <w:proofErr w:type="spellEnd"/>
      <w:r w:rsidRPr="00AE4FCC">
        <w:rPr>
          <w:i/>
          <w:color w:val="000000"/>
          <w:szCs w:val="24"/>
        </w:rPr>
        <w:t xml:space="preserve"> Kaku v. City of Santa Clara</w:t>
      </w:r>
      <w:r w:rsidRPr="00AE4FCC">
        <w:rPr>
          <w:color w:val="000000"/>
          <w:szCs w:val="24"/>
        </w:rPr>
        <w:t xml:space="preserve">, Case No. 17CV319862 (Superior Court, Santa Clara </w:t>
      </w:r>
    </w:p>
    <w:p w14:paraId="35B187CA" w14:textId="603C2A32" w:rsidR="0032603D" w:rsidRPr="00AE4FCC" w:rsidRDefault="00F34673"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b/>
      </w:r>
      <w:r w:rsidR="0032603D" w:rsidRPr="00AE4FCC">
        <w:rPr>
          <w:color w:val="000000"/>
          <w:szCs w:val="24"/>
        </w:rPr>
        <w:t xml:space="preserve">County), </w:t>
      </w:r>
      <w:r w:rsidR="00E30392">
        <w:rPr>
          <w:color w:val="000000"/>
          <w:szCs w:val="24"/>
        </w:rPr>
        <w:t xml:space="preserve">aff’d </w:t>
      </w:r>
      <w:r w:rsidR="0050215E">
        <w:rPr>
          <w:color w:val="000000"/>
          <w:szCs w:val="24"/>
        </w:rPr>
        <w:t>59 Ca</w:t>
      </w:r>
      <w:r w:rsidR="00E30392">
        <w:rPr>
          <w:color w:val="000000"/>
          <w:szCs w:val="24"/>
        </w:rPr>
        <w:t>l</w:t>
      </w:r>
      <w:r w:rsidR="0050215E">
        <w:rPr>
          <w:color w:val="000000"/>
          <w:szCs w:val="24"/>
        </w:rPr>
        <w:t>.</w:t>
      </w:r>
      <w:r w:rsidR="00E30392">
        <w:rPr>
          <w:color w:val="000000"/>
          <w:szCs w:val="24"/>
        </w:rPr>
        <w:t>App.5</w:t>
      </w:r>
      <w:r w:rsidR="00E30392" w:rsidRPr="00E30392">
        <w:rPr>
          <w:color w:val="000000"/>
          <w:szCs w:val="24"/>
          <w:vertAlign w:val="superscript"/>
        </w:rPr>
        <w:t>th</w:t>
      </w:r>
      <w:r w:rsidR="00E30392">
        <w:rPr>
          <w:color w:val="000000"/>
          <w:szCs w:val="24"/>
        </w:rPr>
        <w:t xml:space="preserve"> 385 (2020).</w:t>
      </w:r>
    </w:p>
    <w:p w14:paraId="76B314F0" w14:textId="77777777" w:rsidR="00E417A6" w:rsidRPr="00AE4FCC" w:rsidRDefault="00E417A6"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4F37431B" w14:textId="31474B5C" w:rsidR="00E417A6" w:rsidRDefault="00E417A6"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i/>
          <w:color w:val="000000"/>
          <w:szCs w:val="24"/>
        </w:rPr>
        <w:t>Pico Neighborhood Assn. v. City of Santa Monica</w:t>
      </w:r>
      <w:r w:rsidRPr="00AE4FCC">
        <w:rPr>
          <w:color w:val="000000"/>
          <w:szCs w:val="24"/>
        </w:rPr>
        <w:t xml:space="preserve">, </w:t>
      </w:r>
      <w:r w:rsidR="00FF128D">
        <w:rPr>
          <w:color w:val="000000"/>
          <w:szCs w:val="24"/>
        </w:rPr>
        <w:t>534 P.3d 54 (Cal. 2023)</w:t>
      </w:r>
      <w:r w:rsidR="003615E9">
        <w:rPr>
          <w:color w:val="000000"/>
          <w:szCs w:val="24"/>
        </w:rPr>
        <w:t xml:space="preserve">.  </w:t>
      </w:r>
    </w:p>
    <w:p w14:paraId="593ED597" w14:textId="22FCF6C7" w:rsidR="00841B78" w:rsidRDefault="00841B78"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4FA3B1A7" w14:textId="77777777" w:rsidR="00AA17A0" w:rsidRDefault="00841B78"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pPr>
      <w:r w:rsidRPr="00CD3579">
        <w:rPr>
          <w:i/>
          <w:color w:val="000000"/>
          <w:szCs w:val="24"/>
        </w:rPr>
        <w:t>Jones v. De Santis</w:t>
      </w:r>
      <w:r>
        <w:rPr>
          <w:color w:val="000000"/>
          <w:szCs w:val="24"/>
        </w:rPr>
        <w:t xml:space="preserve">, Case No. </w:t>
      </w:r>
      <w:r w:rsidRPr="00A662A6">
        <w:t>Case No. 4:19cv300</w:t>
      </w:r>
      <w:r>
        <w:t>-RH/MJF</w:t>
      </w:r>
      <w:r w:rsidR="00A57A7F">
        <w:t xml:space="preserve">, </w:t>
      </w:r>
      <w:r w:rsidR="00A57A7F" w:rsidRPr="00E41DBD">
        <w:t>462 F. Supp. 3d 1196 (N.D. Fla.</w:t>
      </w:r>
    </w:p>
    <w:p w14:paraId="105F2639" w14:textId="0A0786DD" w:rsidR="00CD3579" w:rsidRDefault="00AA17A0"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pPr>
      <w:r>
        <w:tab/>
      </w:r>
      <w:r w:rsidR="00A57A7F" w:rsidRPr="00E41DBD">
        <w:t xml:space="preserve">2020), </w:t>
      </w:r>
      <w:proofErr w:type="spellStart"/>
      <w:r w:rsidR="00A57A7F" w:rsidRPr="00E41DBD">
        <w:t>rev’d</w:t>
      </w:r>
      <w:proofErr w:type="spellEnd"/>
      <w:r w:rsidR="00A57A7F" w:rsidRPr="00E41DBD">
        <w:t xml:space="preserve"> sub nom. </w:t>
      </w:r>
      <w:r w:rsidR="00A57A7F" w:rsidRPr="00E41DBD">
        <w:rPr>
          <w:i/>
          <w:iCs/>
        </w:rPr>
        <w:t>Jones v. Governor of Fla</w:t>
      </w:r>
      <w:r w:rsidR="00A57A7F" w:rsidRPr="00E41DBD">
        <w:t>., 974 F.3d 1016 (11</w:t>
      </w:r>
      <w:r w:rsidR="00A57A7F" w:rsidRPr="00E41DBD">
        <w:rPr>
          <w:vertAlign w:val="superscript"/>
        </w:rPr>
        <w:t>th</w:t>
      </w:r>
      <w:r w:rsidR="00A57A7F" w:rsidRPr="00E41DBD">
        <w:t xml:space="preserve"> Cir. 2020).</w:t>
      </w:r>
      <w:r w:rsidR="00841B78">
        <w:t xml:space="preserve"> </w:t>
      </w:r>
    </w:p>
    <w:p w14:paraId="293DD286" w14:textId="77777777" w:rsidR="003F5367" w:rsidRDefault="003F5367"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2B594E79" w14:textId="3D7FE8AF" w:rsidR="00CD3579" w:rsidRDefault="00943A8C"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imesNewRomanPSMT" w:hAnsi="TimesNewRomanPSMT" w:cs="TimesNewRomanPSMT"/>
          <w:szCs w:val="24"/>
        </w:rPr>
      </w:pPr>
      <w:r>
        <w:rPr>
          <w:i/>
          <w:color w:val="000000"/>
          <w:szCs w:val="24"/>
        </w:rPr>
        <w:lastRenderedPageBreak/>
        <w:t>Williams</w:t>
      </w:r>
      <w:r w:rsidR="00CD3579" w:rsidRPr="00CD3579">
        <w:rPr>
          <w:i/>
          <w:color w:val="000000"/>
          <w:szCs w:val="24"/>
        </w:rPr>
        <w:t xml:space="preserve"> v. DeSantis</w:t>
      </w:r>
      <w:r w:rsidR="00CD3579">
        <w:rPr>
          <w:color w:val="000000"/>
          <w:szCs w:val="24"/>
        </w:rPr>
        <w:t xml:space="preserve">, </w:t>
      </w:r>
      <w:r w:rsidR="00CD3579" w:rsidRPr="00CD3579">
        <w:rPr>
          <w:rFonts w:ascii="TimesNewRomanPSMT" w:hAnsi="TimesNewRomanPSMT" w:cs="TimesNewRomanPSMT"/>
          <w:szCs w:val="24"/>
        </w:rPr>
        <w:t>Case No. 4:20-cv-236-RH-MJF</w:t>
      </w:r>
      <w:r w:rsidR="00CD3579">
        <w:rPr>
          <w:rFonts w:ascii="TimesNewRomanPSMT" w:hAnsi="TimesNewRomanPSMT" w:cs="TimesNewRomanPSMT"/>
          <w:szCs w:val="24"/>
        </w:rPr>
        <w:t xml:space="preserve"> (N.D. Fla.), settled before trial, 2020.</w:t>
      </w:r>
    </w:p>
    <w:p w14:paraId="60061D49" w14:textId="486999E3" w:rsidR="00881608" w:rsidRDefault="00881608"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imesNewRomanPSMT" w:hAnsi="TimesNewRomanPSMT" w:cs="TimesNewRomanPSMT"/>
          <w:szCs w:val="24"/>
        </w:rPr>
      </w:pPr>
    </w:p>
    <w:p w14:paraId="30DBDFCE" w14:textId="77777777" w:rsidR="00AA17A0" w:rsidRDefault="00881608"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imesNewRomanPSMT" w:hAnsi="TimesNewRomanPSMT" w:cs="TimesNewRomanPSMT"/>
          <w:szCs w:val="24"/>
        </w:rPr>
      </w:pPr>
      <w:r w:rsidRPr="00881608">
        <w:rPr>
          <w:rFonts w:ascii="TimesNewRomanPSMT" w:hAnsi="TimesNewRomanPSMT" w:cs="TimesNewRomanPSMT"/>
          <w:i/>
          <w:szCs w:val="24"/>
        </w:rPr>
        <w:t>Southwest Voter Registration Education Project v. City of Carson, CA</w:t>
      </w:r>
      <w:r>
        <w:rPr>
          <w:rFonts w:ascii="TimesNewRomanPSMT" w:hAnsi="TimesNewRomanPSMT" w:cs="TimesNewRomanPSMT"/>
          <w:szCs w:val="24"/>
        </w:rPr>
        <w:t>, Case. No.: 19STCV32291</w:t>
      </w:r>
    </w:p>
    <w:p w14:paraId="16417F98" w14:textId="065347E8" w:rsidR="00881608" w:rsidRDefault="00AA17A0"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imesNewRomanPSMT" w:hAnsi="TimesNewRomanPSMT" w:cs="TimesNewRomanPSMT"/>
          <w:szCs w:val="24"/>
        </w:rPr>
      </w:pPr>
      <w:r>
        <w:rPr>
          <w:rFonts w:ascii="TimesNewRomanPSMT" w:hAnsi="TimesNewRomanPSMT" w:cs="TimesNewRomanPSMT"/>
          <w:szCs w:val="24"/>
        </w:rPr>
        <w:tab/>
      </w:r>
      <w:r w:rsidR="00881608">
        <w:rPr>
          <w:rFonts w:ascii="TimesNewRomanPSMT" w:hAnsi="TimesNewRomanPSMT" w:cs="TimesNewRomanPSMT"/>
          <w:szCs w:val="24"/>
        </w:rPr>
        <w:t>(Superior Court, County of Los Angeles</w:t>
      </w:r>
      <w:r w:rsidR="00F52C00">
        <w:rPr>
          <w:rFonts w:ascii="TimesNewRomanPSMT" w:hAnsi="TimesNewRomanPSMT" w:cs="TimesNewRomanPSMT"/>
          <w:szCs w:val="24"/>
        </w:rPr>
        <w:t>, 2021</w:t>
      </w:r>
      <w:r w:rsidR="00881608">
        <w:rPr>
          <w:rFonts w:ascii="TimesNewRomanPSMT" w:hAnsi="TimesNewRomanPSMT" w:cs="TimesNewRomanPSMT"/>
          <w:szCs w:val="24"/>
        </w:rPr>
        <w:t>), settled before trial.</w:t>
      </w:r>
    </w:p>
    <w:p w14:paraId="6272F252" w14:textId="6EC71C50" w:rsidR="00C427AE" w:rsidRDefault="00C427AE"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imesNewRomanPSMT" w:hAnsi="TimesNewRomanPSMT" w:cs="TimesNewRomanPSMT"/>
          <w:szCs w:val="24"/>
        </w:rPr>
      </w:pPr>
    </w:p>
    <w:p w14:paraId="2F1F9C8F" w14:textId="77777777" w:rsidR="00093F0A" w:rsidRDefault="001237EB"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imesNewRomanPSMT" w:hAnsi="TimesNewRomanPSMT" w:cs="TimesNewRomanPSMT"/>
          <w:szCs w:val="24"/>
        </w:rPr>
      </w:pPr>
      <w:r>
        <w:rPr>
          <w:rFonts w:ascii="TimesNewRomanPSMT" w:hAnsi="TimesNewRomanPSMT" w:cs="TimesNewRomanPSMT"/>
          <w:i/>
          <w:iCs/>
          <w:szCs w:val="24"/>
        </w:rPr>
        <w:t>League of Women Voters</w:t>
      </w:r>
      <w:r w:rsidR="00AF7E33" w:rsidRPr="00507487">
        <w:rPr>
          <w:rFonts w:ascii="TimesNewRomanPSMT" w:hAnsi="TimesNewRomanPSMT" w:cs="TimesNewRomanPSMT"/>
          <w:i/>
          <w:iCs/>
          <w:szCs w:val="24"/>
        </w:rPr>
        <w:t xml:space="preserve"> v. </w:t>
      </w:r>
      <w:r w:rsidR="008977ED">
        <w:rPr>
          <w:rFonts w:ascii="TimesNewRomanPSMT" w:hAnsi="TimesNewRomanPSMT" w:cs="TimesNewRomanPSMT"/>
          <w:i/>
          <w:iCs/>
          <w:szCs w:val="24"/>
        </w:rPr>
        <w:t>Florida Secretary of State</w:t>
      </w:r>
      <w:r w:rsidR="00AF7E33">
        <w:rPr>
          <w:rFonts w:ascii="TimesNewRomanPSMT" w:hAnsi="TimesNewRomanPSMT" w:cs="TimesNewRomanPSMT"/>
          <w:szCs w:val="24"/>
        </w:rPr>
        <w:t xml:space="preserve">, </w:t>
      </w:r>
      <w:r w:rsidR="00A149DA">
        <w:rPr>
          <w:rFonts w:ascii="TimesNewRomanPSMT" w:hAnsi="TimesNewRomanPSMT" w:cs="TimesNewRomanPSMT"/>
          <w:szCs w:val="24"/>
        </w:rPr>
        <w:t>2022 WL 969538 (N.D. Fla. 2022)</w:t>
      </w:r>
      <w:r w:rsidR="00422788">
        <w:rPr>
          <w:rFonts w:ascii="TimesNewRomanPSMT" w:hAnsi="TimesNewRomanPSMT" w:cs="TimesNewRomanPSMT"/>
          <w:szCs w:val="24"/>
        </w:rPr>
        <w:t xml:space="preserve">, </w:t>
      </w:r>
      <w:proofErr w:type="spellStart"/>
      <w:r w:rsidR="00422788">
        <w:rPr>
          <w:rFonts w:ascii="TimesNewRomanPSMT" w:hAnsi="TimesNewRomanPSMT" w:cs="TimesNewRomanPSMT"/>
          <w:szCs w:val="24"/>
        </w:rPr>
        <w:t>rev’d</w:t>
      </w:r>
      <w:proofErr w:type="spellEnd"/>
      <w:r w:rsidR="00422788">
        <w:rPr>
          <w:rFonts w:ascii="TimesNewRomanPSMT" w:hAnsi="TimesNewRomanPSMT" w:cs="TimesNewRomanPSMT"/>
          <w:szCs w:val="24"/>
        </w:rPr>
        <w:t xml:space="preserve"> </w:t>
      </w:r>
    </w:p>
    <w:p w14:paraId="679611CF" w14:textId="6AC5ECAB" w:rsidR="00C427AE" w:rsidRDefault="00093F0A"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imesNewRomanPSMT" w:hAnsi="TimesNewRomanPSMT" w:cs="TimesNewRomanPSMT"/>
          <w:szCs w:val="24"/>
        </w:rPr>
      </w:pPr>
      <w:r>
        <w:rPr>
          <w:rFonts w:ascii="TimesNewRomanPSMT" w:hAnsi="TimesNewRomanPSMT" w:cs="TimesNewRomanPSMT"/>
          <w:szCs w:val="24"/>
        </w:rPr>
        <w:tab/>
      </w:r>
      <w:r w:rsidR="0028085E">
        <w:rPr>
          <w:rFonts w:ascii="TimesNewRomanPSMT" w:hAnsi="TimesNewRomanPSMT" w:cs="TimesNewRomanPSMT"/>
          <w:szCs w:val="24"/>
        </w:rPr>
        <w:t>32 F. 4</w:t>
      </w:r>
      <w:r w:rsidR="0028085E" w:rsidRPr="0028085E">
        <w:rPr>
          <w:rFonts w:ascii="TimesNewRomanPSMT" w:hAnsi="TimesNewRomanPSMT" w:cs="TimesNewRomanPSMT"/>
          <w:szCs w:val="24"/>
          <w:vertAlign w:val="superscript"/>
        </w:rPr>
        <w:t>th</w:t>
      </w:r>
      <w:r w:rsidR="0028085E">
        <w:rPr>
          <w:rFonts w:ascii="TimesNewRomanPSMT" w:hAnsi="TimesNewRomanPSMT" w:cs="TimesNewRomanPSMT"/>
          <w:szCs w:val="24"/>
        </w:rPr>
        <w:t xml:space="preserve"> 1353 (11</w:t>
      </w:r>
      <w:r w:rsidR="0028085E" w:rsidRPr="0028085E">
        <w:rPr>
          <w:rFonts w:ascii="TimesNewRomanPSMT" w:hAnsi="TimesNewRomanPSMT" w:cs="TimesNewRomanPSMT"/>
          <w:szCs w:val="24"/>
          <w:vertAlign w:val="superscript"/>
        </w:rPr>
        <w:t>th</w:t>
      </w:r>
      <w:r w:rsidR="0028085E">
        <w:rPr>
          <w:rFonts w:ascii="TimesNewRomanPSMT" w:hAnsi="TimesNewRomanPSMT" w:cs="TimesNewRomanPSMT"/>
          <w:szCs w:val="24"/>
        </w:rPr>
        <w:t xml:space="preserve"> Cir. 2022)</w:t>
      </w:r>
      <w:r w:rsidR="00507487">
        <w:rPr>
          <w:rFonts w:ascii="TimesNewRomanPSMT" w:hAnsi="TimesNewRomanPSMT" w:cs="TimesNewRomanPSMT"/>
          <w:szCs w:val="24"/>
        </w:rPr>
        <w:t>.</w:t>
      </w:r>
    </w:p>
    <w:p w14:paraId="46E5ABB1" w14:textId="73F87911" w:rsidR="00E15E80" w:rsidRDefault="00E15E80"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imesNewRomanPSMT" w:hAnsi="TimesNewRomanPSMT" w:cs="TimesNewRomanPSMT"/>
          <w:szCs w:val="24"/>
        </w:rPr>
      </w:pPr>
    </w:p>
    <w:p w14:paraId="39D1CCF0" w14:textId="77777777" w:rsidR="00093F0A" w:rsidRDefault="00E15E80"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imesNewRomanPSMT" w:hAnsi="TimesNewRomanPSMT" w:cs="TimesNewRomanPSMT"/>
          <w:szCs w:val="24"/>
        </w:rPr>
      </w:pPr>
      <w:r w:rsidRPr="00ED2CDD">
        <w:rPr>
          <w:rFonts w:ascii="TimesNewRomanPSMT" w:hAnsi="TimesNewRomanPSMT" w:cs="TimesNewRomanPSMT"/>
          <w:i/>
          <w:iCs/>
          <w:szCs w:val="24"/>
        </w:rPr>
        <w:t>Southwest Voter Registration Project v. Ramona Unified School District</w:t>
      </w:r>
      <w:r w:rsidR="00F94F5F">
        <w:rPr>
          <w:rFonts w:ascii="TimesNewRomanPSMT" w:hAnsi="TimesNewRomanPSMT" w:cs="TimesNewRomanPSMT"/>
          <w:szCs w:val="24"/>
        </w:rPr>
        <w:t>, 37-2020-00036554-CU-</w:t>
      </w:r>
    </w:p>
    <w:p w14:paraId="1E49843A" w14:textId="40AFEB27" w:rsidR="00E15E80" w:rsidRDefault="00093F0A"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imesNewRomanPSMT" w:hAnsi="TimesNewRomanPSMT" w:cs="TimesNewRomanPSMT"/>
          <w:szCs w:val="24"/>
        </w:rPr>
      </w:pPr>
      <w:r>
        <w:rPr>
          <w:rFonts w:ascii="TimesNewRomanPSMT" w:hAnsi="TimesNewRomanPSMT" w:cs="TimesNewRomanPSMT"/>
          <w:szCs w:val="24"/>
        </w:rPr>
        <w:tab/>
      </w:r>
      <w:r w:rsidR="00F94F5F">
        <w:rPr>
          <w:rFonts w:ascii="TimesNewRomanPSMT" w:hAnsi="TimesNewRomanPSMT" w:cs="TimesNewRomanPSMT"/>
          <w:szCs w:val="24"/>
        </w:rPr>
        <w:t>CR-CTL (</w:t>
      </w:r>
      <w:r w:rsidR="00ED2CDD">
        <w:rPr>
          <w:rFonts w:ascii="TimesNewRomanPSMT" w:hAnsi="TimesNewRomanPSMT" w:cs="TimesNewRomanPSMT"/>
          <w:szCs w:val="24"/>
        </w:rPr>
        <w:t>Superior Court, County of San Diego</w:t>
      </w:r>
      <w:r w:rsidR="00B86217">
        <w:rPr>
          <w:rFonts w:ascii="TimesNewRomanPSMT" w:hAnsi="TimesNewRomanPSMT" w:cs="TimesNewRomanPSMT"/>
          <w:szCs w:val="24"/>
        </w:rPr>
        <w:t>).</w:t>
      </w:r>
    </w:p>
    <w:p w14:paraId="728254DE" w14:textId="7751D334" w:rsidR="00B86217" w:rsidRDefault="00B86217"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imesNewRomanPSMT" w:hAnsi="TimesNewRomanPSMT" w:cs="TimesNewRomanPSMT"/>
          <w:szCs w:val="24"/>
        </w:rPr>
      </w:pPr>
    </w:p>
    <w:p w14:paraId="384C7B1B" w14:textId="77777777" w:rsidR="00093F0A" w:rsidRDefault="00D47B12"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imesNewRomanPSMT" w:hAnsi="TimesNewRomanPSMT" w:cs="TimesNewRomanPSMT"/>
          <w:szCs w:val="24"/>
        </w:rPr>
      </w:pPr>
      <w:r w:rsidRPr="00ED522E">
        <w:rPr>
          <w:rFonts w:ascii="TimesNewRomanPSMT" w:hAnsi="TimesNewRomanPSMT" w:cs="TimesNewRomanPSMT"/>
          <w:i/>
          <w:iCs/>
          <w:szCs w:val="24"/>
        </w:rPr>
        <w:t xml:space="preserve">La Union Del Pueblo </w:t>
      </w:r>
      <w:proofErr w:type="spellStart"/>
      <w:r w:rsidRPr="00ED522E">
        <w:rPr>
          <w:rFonts w:ascii="TimesNewRomanPSMT" w:hAnsi="TimesNewRomanPSMT" w:cs="TimesNewRomanPSMT"/>
          <w:i/>
          <w:iCs/>
          <w:szCs w:val="24"/>
        </w:rPr>
        <w:t>Entero</w:t>
      </w:r>
      <w:proofErr w:type="spellEnd"/>
      <w:r w:rsidRPr="00ED522E">
        <w:rPr>
          <w:rFonts w:ascii="TimesNewRomanPSMT" w:hAnsi="TimesNewRomanPSMT" w:cs="TimesNewRomanPSMT"/>
          <w:i/>
          <w:iCs/>
          <w:szCs w:val="24"/>
        </w:rPr>
        <w:t xml:space="preserve"> v. Abbott</w:t>
      </w:r>
      <w:r>
        <w:rPr>
          <w:rFonts w:ascii="TimesNewRomanPSMT" w:hAnsi="TimesNewRomanPSMT" w:cs="TimesNewRomanPSMT"/>
          <w:szCs w:val="24"/>
        </w:rPr>
        <w:t>, No. 4:21-cv-00844-XR (W.D. Tex.</w:t>
      </w:r>
      <w:r w:rsidR="00ED522E">
        <w:rPr>
          <w:rFonts w:ascii="TimesNewRomanPSMT" w:hAnsi="TimesNewRomanPSMT" w:cs="TimesNewRomanPSMT"/>
          <w:szCs w:val="24"/>
        </w:rPr>
        <w:t xml:space="preserve">, San Antonio </w:t>
      </w:r>
    </w:p>
    <w:p w14:paraId="19207757" w14:textId="691B7FAA" w:rsidR="00C9720F" w:rsidRDefault="00093F0A"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imesNewRomanPSMT" w:hAnsi="TimesNewRomanPSMT" w:cs="TimesNewRomanPSMT"/>
          <w:szCs w:val="24"/>
        </w:rPr>
      </w:pPr>
      <w:r>
        <w:rPr>
          <w:rFonts w:ascii="TimesNewRomanPSMT" w:hAnsi="TimesNewRomanPSMT" w:cs="TimesNewRomanPSMT"/>
          <w:szCs w:val="24"/>
        </w:rPr>
        <w:tab/>
      </w:r>
      <w:r w:rsidR="00ED522E">
        <w:rPr>
          <w:rFonts w:ascii="TimesNewRomanPSMT" w:hAnsi="TimesNewRomanPSMT" w:cs="TimesNewRomanPSMT"/>
          <w:szCs w:val="24"/>
        </w:rPr>
        <w:t>Division), pending.</w:t>
      </w:r>
    </w:p>
    <w:p w14:paraId="30A0FE25" w14:textId="2B42927B" w:rsidR="00D5084C" w:rsidRDefault="00D5084C"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imesNewRomanPSMT" w:hAnsi="TimesNewRomanPSMT" w:cs="TimesNewRomanPSMT"/>
          <w:szCs w:val="24"/>
        </w:rPr>
      </w:pPr>
    </w:p>
    <w:p w14:paraId="33FA45A3" w14:textId="58618BF6" w:rsidR="00D5084C" w:rsidRDefault="00D5084C"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imesNewRomanPSMT" w:hAnsi="TimesNewRomanPSMT" w:cs="TimesNewRomanPSMT"/>
          <w:szCs w:val="24"/>
        </w:rPr>
      </w:pPr>
      <w:r w:rsidRPr="006B49AB">
        <w:rPr>
          <w:rFonts w:ascii="TimesNewRomanPSMT" w:hAnsi="TimesNewRomanPSMT" w:cs="TimesNewRomanPSMT"/>
          <w:i/>
          <w:iCs/>
          <w:szCs w:val="24"/>
        </w:rPr>
        <w:t>LULAC v. Abbott</w:t>
      </w:r>
      <w:r w:rsidR="00733A36">
        <w:rPr>
          <w:rFonts w:ascii="TimesNewRomanPSMT" w:hAnsi="TimesNewRomanPSMT" w:cs="TimesNewRomanPSMT"/>
          <w:szCs w:val="24"/>
        </w:rPr>
        <w:t>, No. 3:21-cv-00259 (W.D. Tex., El Paso Division), pending.</w:t>
      </w:r>
    </w:p>
    <w:p w14:paraId="085954F8" w14:textId="77777777" w:rsidR="00F67837" w:rsidRDefault="00F67837"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imesNewRomanPSMT" w:hAnsi="TimesNewRomanPSMT" w:cs="TimesNewRomanPSMT"/>
          <w:szCs w:val="24"/>
        </w:rPr>
      </w:pPr>
    </w:p>
    <w:p w14:paraId="4210FFD3" w14:textId="77777777" w:rsidR="00093F0A" w:rsidRDefault="00312100"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imesNewRomanPSMT" w:hAnsi="TimesNewRomanPSMT" w:cs="TimesNewRomanPSMT"/>
          <w:szCs w:val="24"/>
        </w:rPr>
      </w:pPr>
      <w:r w:rsidRPr="00601122">
        <w:rPr>
          <w:rFonts w:ascii="TimesNewRomanPSMT" w:hAnsi="TimesNewRomanPSMT" w:cs="TimesNewRomanPSMT"/>
          <w:i/>
          <w:iCs/>
          <w:szCs w:val="24"/>
        </w:rPr>
        <w:t>Common Cause Florida v. Florida Sec’y of State</w:t>
      </w:r>
      <w:r>
        <w:rPr>
          <w:rFonts w:ascii="TimesNewRomanPSMT" w:hAnsi="TimesNewRomanPSMT" w:cs="TimesNewRomanPSMT"/>
          <w:szCs w:val="24"/>
        </w:rPr>
        <w:t xml:space="preserve">, </w:t>
      </w:r>
      <w:r w:rsidR="009E25A3">
        <w:rPr>
          <w:rFonts w:ascii="TimesNewRomanPSMT" w:hAnsi="TimesNewRomanPSMT" w:cs="TimesNewRomanPSMT"/>
          <w:szCs w:val="24"/>
        </w:rPr>
        <w:t>No. 4:22-cv-190-AW-MAF (</w:t>
      </w:r>
      <w:r w:rsidR="00464278">
        <w:rPr>
          <w:rFonts w:ascii="TimesNewRomanPSMT" w:hAnsi="TimesNewRomanPSMT" w:cs="TimesNewRomanPSMT"/>
          <w:szCs w:val="24"/>
        </w:rPr>
        <w:t>N.D. Fla.,</w:t>
      </w:r>
    </w:p>
    <w:p w14:paraId="0D423350" w14:textId="77777777" w:rsidR="004536EA" w:rsidRDefault="00093F0A"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imesNewRomanPSMT" w:hAnsi="TimesNewRomanPSMT" w:cs="TimesNewRomanPSMT"/>
          <w:szCs w:val="24"/>
        </w:rPr>
      </w:pPr>
      <w:r>
        <w:rPr>
          <w:rFonts w:ascii="TimesNewRomanPSMT" w:hAnsi="TimesNewRomanPSMT" w:cs="TimesNewRomanPSMT"/>
          <w:szCs w:val="24"/>
        </w:rPr>
        <w:tab/>
      </w:r>
      <w:r w:rsidR="00464278">
        <w:rPr>
          <w:rFonts w:ascii="TimesNewRomanPSMT" w:hAnsi="TimesNewRomanPSMT" w:cs="TimesNewRomanPSMT"/>
          <w:szCs w:val="24"/>
        </w:rPr>
        <w:t xml:space="preserve">Tallahassee Division), </w:t>
      </w:r>
      <w:r w:rsidR="00700932">
        <w:rPr>
          <w:rFonts w:ascii="TimesNewRomanPSMT" w:hAnsi="TimesNewRomanPSMT" w:cs="TimesNewRomanPSMT"/>
          <w:szCs w:val="24"/>
        </w:rPr>
        <w:t xml:space="preserve">decided for </w:t>
      </w:r>
      <w:r w:rsidR="00DB3246">
        <w:rPr>
          <w:rFonts w:ascii="TimesNewRomanPSMT" w:hAnsi="TimesNewRomanPSMT" w:cs="TimesNewRomanPSMT"/>
          <w:szCs w:val="24"/>
        </w:rPr>
        <w:t xml:space="preserve">defendants, March 27, 2024.  Motion for </w:t>
      </w:r>
    </w:p>
    <w:p w14:paraId="0E914299" w14:textId="3FB7360A" w:rsidR="00F67837" w:rsidRDefault="004536EA"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imesNewRomanPSMT" w:hAnsi="TimesNewRomanPSMT" w:cs="TimesNewRomanPSMT"/>
          <w:szCs w:val="24"/>
        </w:rPr>
      </w:pPr>
      <w:r>
        <w:rPr>
          <w:rFonts w:ascii="TimesNewRomanPSMT" w:hAnsi="TimesNewRomanPSMT" w:cs="TimesNewRomanPSMT"/>
          <w:szCs w:val="24"/>
        </w:rPr>
        <w:tab/>
        <w:t>reconsideration pending.</w:t>
      </w:r>
    </w:p>
    <w:p w14:paraId="4B025480" w14:textId="77777777" w:rsidR="00CD3579" w:rsidRPr="00AE4FCC" w:rsidRDefault="00CD3579"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16164FD5" w14:textId="77777777" w:rsidR="00466A03" w:rsidRPr="00AE4FCC" w:rsidRDefault="00466A03"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71015CDE"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after="100"/>
        <w:jc w:val="center"/>
        <w:rPr>
          <w:color w:val="000000"/>
          <w:szCs w:val="24"/>
        </w:rPr>
      </w:pPr>
      <w:r w:rsidRPr="00AE4FCC">
        <w:rPr>
          <w:b/>
          <w:color w:val="000000"/>
          <w:szCs w:val="24"/>
        </w:rPr>
        <w:t>Testimony at Hearings</w:t>
      </w:r>
    </w:p>
    <w:p w14:paraId="5C549D38"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35204ED4"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left="720" w:hanging="720"/>
        <w:contextualSpacing/>
        <w:rPr>
          <w:color w:val="000000"/>
          <w:szCs w:val="24"/>
        </w:rPr>
      </w:pPr>
      <w:r w:rsidRPr="00AE4FCC">
        <w:rPr>
          <w:color w:val="000000"/>
          <w:szCs w:val="24"/>
        </w:rPr>
        <w:t xml:space="preserve">Subcommittee on Civil and Constitutional Rights, Committee on the Judiciary, U.S. House of Representatives, </w:t>
      </w:r>
      <w:r w:rsidRPr="00AE4FCC">
        <w:rPr>
          <w:i/>
          <w:color w:val="000000"/>
          <w:szCs w:val="24"/>
        </w:rPr>
        <w:t>Extension of the Voting Rights Act</w:t>
      </w:r>
      <w:r w:rsidRPr="00AE4FCC">
        <w:rPr>
          <w:color w:val="000000"/>
          <w:szCs w:val="24"/>
        </w:rPr>
        <w:t>, 97 Cong, 1</w:t>
      </w:r>
      <w:r w:rsidRPr="00AE4FCC">
        <w:rPr>
          <w:color w:val="000000"/>
          <w:szCs w:val="24"/>
          <w:vertAlign w:val="superscript"/>
        </w:rPr>
        <w:t>st</w:t>
      </w:r>
      <w:r w:rsidRPr="00AE4FCC">
        <w:rPr>
          <w:color w:val="000000"/>
          <w:szCs w:val="24"/>
        </w:rPr>
        <w:t xml:space="preserve"> Sess. (1981), pp. 2005-28.</w:t>
      </w:r>
    </w:p>
    <w:p w14:paraId="337CDA8E"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57D9549F"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California State Assembly, District Representation Committee, April 14, 2005.</w:t>
      </w:r>
    </w:p>
    <w:p w14:paraId="47904C33"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left="720" w:hanging="720"/>
        <w:contextualSpacing/>
        <w:rPr>
          <w:color w:val="000000"/>
          <w:szCs w:val="24"/>
        </w:rPr>
      </w:pPr>
    </w:p>
    <w:p w14:paraId="05C824B6"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left="720" w:hanging="720"/>
        <w:contextualSpacing/>
        <w:rPr>
          <w:color w:val="000000"/>
          <w:szCs w:val="24"/>
        </w:rPr>
      </w:pPr>
      <w:r w:rsidRPr="00AE4FCC">
        <w:rPr>
          <w:color w:val="000000"/>
          <w:szCs w:val="24"/>
        </w:rPr>
        <w:t>California State Assembly, Elections and Redistricting Committee and Senate, Reapportionment and Constitutional Amendments Committee, Sept. 26, 2005.</w:t>
      </w:r>
    </w:p>
    <w:p w14:paraId="6A3507F9"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0F7FBB98"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National Commission on the Voting Rights Act, Los Angeles, Sept. 27, 2005.</w:t>
      </w:r>
    </w:p>
    <w:p w14:paraId="324C6B6B"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38C1C05D"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National Commission on Voting Rights, San Francisco, Jan. 30, 2014</w:t>
      </w:r>
      <w:r w:rsidR="00DE5888" w:rsidRPr="00AE4FCC">
        <w:rPr>
          <w:color w:val="000000"/>
          <w:szCs w:val="24"/>
        </w:rPr>
        <w:t>.</w:t>
      </w:r>
    </w:p>
    <w:p w14:paraId="7BFD771D" w14:textId="77777777" w:rsidR="00557414" w:rsidRPr="00AE4FCC" w:rsidRDefault="0055741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45CF90BE" w14:textId="77777777" w:rsidR="00E77D34" w:rsidRPr="00AE4FCC" w:rsidRDefault="00E77D3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 xml:space="preserve">Subcommittee on the Constitution, Civil Rights, and Civil Liberties, Committee on the Judiciary, U.S. House of Representatives, </w:t>
      </w:r>
      <w:r w:rsidRPr="00AE4FCC">
        <w:rPr>
          <w:i/>
          <w:color w:val="000000"/>
          <w:szCs w:val="24"/>
        </w:rPr>
        <w:t>Legislative Proposals to Strengthen the Voting Rights Act</w:t>
      </w:r>
      <w:r w:rsidRPr="00AE4FCC">
        <w:rPr>
          <w:color w:val="000000"/>
          <w:szCs w:val="24"/>
        </w:rPr>
        <w:t>, Oct. 17, 2019,</w:t>
      </w:r>
      <w:r w:rsidR="008F6761" w:rsidRPr="00AE4FCC">
        <w:rPr>
          <w:color w:val="000000"/>
          <w:szCs w:val="24"/>
        </w:rPr>
        <w:t xml:space="preserve"> </w:t>
      </w:r>
      <w:r w:rsidRPr="00AE4FCC">
        <w:rPr>
          <w:color w:val="000000"/>
          <w:szCs w:val="24"/>
        </w:rPr>
        <w:t xml:space="preserve">H. Rept. 116-317 </w:t>
      </w:r>
      <w:r w:rsidRPr="00AE4FCC">
        <w:rPr>
          <w:i/>
          <w:color w:val="000000"/>
          <w:szCs w:val="24"/>
        </w:rPr>
        <w:t>Voting Rights Advancement Act of 2019</w:t>
      </w:r>
      <w:r w:rsidRPr="00AE4FCC">
        <w:rPr>
          <w:color w:val="000000"/>
          <w:szCs w:val="24"/>
        </w:rPr>
        <w:t xml:space="preserve">, available at </w:t>
      </w:r>
      <w:hyperlink r:id="rId18" w:history="1">
        <w:r w:rsidRPr="00AE4FCC">
          <w:rPr>
            <w:rStyle w:val="Hyperlink"/>
            <w:szCs w:val="24"/>
          </w:rPr>
          <w:t>https://www.congress.gov/congressional-report/116th-congress/house-report/317/1?q=%7B%22search%22%3A%22Voting+Rights+Advancement+Act%22%7D&amp;r=3&amp;overview=closed</w:t>
        </w:r>
      </w:hyperlink>
      <w:r w:rsidR="00361E4A" w:rsidRPr="00AE4FCC">
        <w:rPr>
          <w:szCs w:val="24"/>
        </w:rPr>
        <w:t>, testimony summarized pp. 53-56.</w:t>
      </w:r>
    </w:p>
    <w:p w14:paraId="46F09094"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15E76984"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jc w:val="center"/>
        <w:rPr>
          <w:color w:val="000000"/>
          <w:szCs w:val="24"/>
        </w:rPr>
      </w:pPr>
      <w:r w:rsidRPr="00AE4FCC">
        <w:rPr>
          <w:b/>
          <w:color w:val="000000"/>
          <w:szCs w:val="24"/>
        </w:rPr>
        <w:t>CONSULTING</w:t>
      </w:r>
    </w:p>
    <w:p w14:paraId="69C7A812"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2B87A071"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Philadelphia Social History Project, for The National Endowment for the Humanities, 1976.</w:t>
      </w:r>
    </w:p>
    <w:p w14:paraId="0D22EA18"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0F7B426F"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left="720" w:hanging="720"/>
        <w:contextualSpacing/>
        <w:rPr>
          <w:color w:val="000000"/>
          <w:szCs w:val="24"/>
        </w:rPr>
      </w:pPr>
      <w:r w:rsidRPr="00AE4FCC">
        <w:rPr>
          <w:color w:val="000000"/>
          <w:szCs w:val="24"/>
        </w:rPr>
        <w:t>History Review Panel, Research Grants Division, National Endowment for the Humanities, Spring 1978, Winter 1979.</w:t>
      </w:r>
    </w:p>
    <w:p w14:paraId="06B05A25"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367EEB4C"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left="720" w:hanging="720"/>
        <w:contextualSpacing/>
        <w:rPr>
          <w:color w:val="000000"/>
          <w:szCs w:val="24"/>
        </w:rPr>
      </w:pPr>
      <w:r w:rsidRPr="00AE4FCC">
        <w:rPr>
          <w:color w:val="000000"/>
          <w:szCs w:val="24"/>
        </w:rPr>
        <w:t xml:space="preserve">U.S. Department of Justice, </w:t>
      </w:r>
      <w:r w:rsidRPr="00AE4FCC">
        <w:rPr>
          <w:i/>
          <w:color w:val="000000"/>
          <w:szCs w:val="24"/>
        </w:rPr>
        <w:t>U.S.</w:t>
      </w:r>
      <w:r w:rsidRPr="00AE4FCC">
        <w:rPr>
          <w:color w:val="000000"/>
          <w:szCs w:val="24"/>
        </w:rPr>
        <w:t xml:space="preserve"> v. </w:t>
      </w:r>
      <w:r w:rsidRPr="00AE4FCC">
        <w:rPr>
          <w:i/>
          <w:color w:val="000000"/>
          <w:szCs w:val="24"/>
        </w:rPr>
        <w:t>South Carolina</w:t>
      </w:r>
      <w:r w:rsidRPr="00AE4FCC">
        <w:rPr>
          <w:color w:val="000000"/>
          <w:szCs w:val="24"/>
        </w:rPr>
        <w:t>, U.S. District Court, South Carolina, 1980 (State Senate; case withdrawn).</w:t>
      </w:r>
    </w:p>
    <w:p w14:paraId="3E15A2BE"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5F112E96"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left="720" w:hanging="720"/>
        <w:contextualSpacing/>
        <w:rPr>
          <w:color w:val="000000"/>
          <w:szCs w:val="24"/>
        </w:rPr>
      </w:pPr>
      <w:r w:rsidRPr="00AE4FCC">
        <w:rPr>
          <w:color w:val="000000"/>
          <w:szCs w:val="24"/>
        </w:rPr>
        <w:t>Lawyers</w:t>
      </w:r>
      <w:r w:rsidR="00AE4FCC" w:rsidRPr="00AE4FCC">
        <w:rPr>
          <w:color w:val="000000"/>
          <w:szCs w:val="24"/>
        </w:rPr>
        <w:t>’</w:t>
      </w:r>
      <w:r w:rsidRPr="00AE4FCC">
        <w:rPr>
          <w:color w:val="000000"/>
          <w:szCs w:val="24"/>
        </w:rPr>
        <w:t xml:space="preserve"> Committee for Civil Rights, </w:t>
      </w:r>
      <w:r w:rsidRPr="00AE4FCC">
        <w:rPr>
          <w:i/>
          <w:color w:val="000000"/>
          <w:szCs w:val="24"/>
        </w:rPr>
        <w:t>Harris</w:t>
      </w:r>
      <w:r w:rsidRPr="00AE4FCC">
        <w:rPr>
          <w:color w:val="000000"/>
          <w:szCs w:val="24"/>
        </w:rPr>
        <w:t xml:space="preserve"> v. </w:t>
      </w:r>
      <w:r w:rsidRPr="00AE4FCC">
        <w:rPr>
          <w:i/>
          <w:color w:val="000000"/>
          <w:szCs w:val="24"/>
        </w:rPr>
        <w:t>Hopewell</w:t>
      </w:r>
      <w:r w:rsidRPr="00AE4FCC">
        <w:rPr>
          <w:color w:val="000000"/>
          <w:szCs w:val="24"/>
        </w:rPr>
        <w:t>, U.S. District Court, 1982 (CA 82-0036-R, Eastern District of Virginia), settled before trial.</w:t>
      </w:r>
    </w:p>
    <w:p w14:paraId="313508FC"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5AA672E1"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left="720" w:hanging="720"/>
        <w:contextualSpacing/>
        <w:rPr>
          <w:color w:val="000000"/>
          <w:szCs w:val="24"/>
        </w:rPr>
      </w:pPr>
      <w:r w:rsidRPr="00AE4FCC">
        <w:rPr>
          <w:color w:val="000000"/>
          <w:szCs w:val="24"/>
        </w:rPr>
        <w:t xml:space="preserve">U. S. Department of Justice, </w:t>
      </w:r>
      <w:r w:rsidRPr="00AE4FCC">
        <w:rPr>
          <w:i/>
          <w:color w:val="000000"/>
          <w:szCs w:val="24"/>
        </w:rPr>
        <w:t>Bladen County, North Carolina</w:t>
      </w:r>
      <w:r w:rsidRPr="00AE4FCC">
        <w:rPr>
          <w:color w:val="000000"/>
          <w:szCs w:val="24"/>
        </w:rPr>
        <w:t xml:space="preserve"> v. </w:t>
      </w:r>
      <w:r w:rsidRPr="00AE4FCC">
        <w:rPr>
          <w:i/>
          <w:color w:val="000000"/>
          <w:szCs w:val="24"/>
        </w:rPr>
        <w:t>United States</w:t>
      </w:r>
      <w:r w:rsidRPr="00AE4FCC">
        <w:rPr>
          <w:color w:val="000000"/>
          <w:szCs w:val="24"/>
        </w:rPr>
        <w:t>, No. 87-2974 (D.D.C., 1988), settled before trial.</w:t>
      </w:r>
    </w:p>
    <w:p w14:paraId="3E91F895"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00FA339D"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 xml:space="preserve">NAACP, </w:t>
      </w:r>
      <w:r w:rsidRPr="00AE4FCC">
        <w:rPr>
          <w:i/>
          <w:color w:val="000000"/>
          <w:szCs w:val="24"/>
        </w:rPr>
        <w:t>NAACP</w:t>
      </w:r>
      <w:r w:rsidRPr="00AE4FCC">
        <w:rPr>
          <w:color w:val="000000"/>
          <w:szCs w:val="24"/>
        </w:rPr>
        <w:t xml:space="preserve"> v. </w:t>
      </w:r>
      <w:r w:rsidRPr="00AE4FCC">
        <w:rPr>
          <w:i/>
          <w:color w:val="000000"/>
          <w:szCs w:val="24"/>
        </w:rPr>
        <w:t>City of Tulsa</w:t>
      </w:r>
      <w:r w:rsidRPr="00AE4FCC">
        <w:rPr>
          <w:color w:val="000000"/>
          <w:szCs w:val="24"/>
        </w:rPr>
        <w:t>, Oklahoma, 1990: (N.D. OK.), settled before trial.</w:t>
      </w:r>
    </w:p>
    <w:p w14:paraId="199ACC74"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62A23D61"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 xml:space="preserve">Alabama State University, </w:t>
      </w:r>
      <w:r w:rsidRPr="00AE4FCC">
        <w:rPr>
          <w:i/>
          <w:color w:val="000000"/>
          <w:szCs w:val="24"/>
        </w:rPr>
        <w:t>Knight</w:t>
      </w:r>
      <w:r w:rsidRPr="00AE4FCC">
        <w:rPr>
          <w:color w:val="000000"/>
          <w:szCs w:val="24"/>
        </w:rPr>
        <w:t xml:space="preserve"> v. </w:t>
      </w:r>
      <w:r w:rsidRPr="00AE4FCC">
        <w:rPr>
          <w:i/>
          <w:color w:val="000000"/>
          <w:szCs w:val="24"/>
        </w:rPr>
        <w:t>James</w:t>
      </w:r>
      <w:r w:rsidRPr="00AE4FCC">
        <w:rPr>
          <w:color w:val="000000"/>
          <w:szCs w:val="24"/>
        </w:rPr>
        <w:t>, No. CV83-M-1676-S (N.D.</w:t>
      </w:r>
      <w:r w:rsidR="00F34673" w:rsidRPr="00AE4FCC">
        <w:rPr>
          <w:color w:val="000000"/>
          <w:szCs w:val="24"/>
        </w:rPr>
        <w:t xml:space="preserve"> </w:t>
      </w:r>
      <w:r w:rsidRPr="00AE4FCC">
        <w:rPr>
          <w:color w:val="000000"/>
          <w:szCs w:val="24"/>
        </w:rPr>
        <w:t>Ala. 1991).</w:t>
      </w:r>
    </w:p>
    <w:p w14:paraId="0519A346"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439954F3"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City of Santa Monica, California, Charter Revision Commission, 1992.</w:t>
      </w:r>
    </w:p>
    <w:p w14:paraId="6C5CC1AC"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3D7EC3B1"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 xml:space="preserve">MALDEF, </w:t>
      </w:r>
      <w:r w:rsidRPr="00AE4FCC">
        <w:rPr>
          <w:i/>
          <w:color w:val="000000"/>
          <w:szCs w:val="24"/>
        </w:rPr>
        <w:t>Bonilla</w:t>
      </w:r>
      <w:r w:rsidRPr="00AE4FCC">
        <w:rPr>
          <w:color w:val="000000"/>
          <w:szCs w:val="24"/>
        </w:rPr>
        <w:t xml:space="preserve"> v. </w:t>
      </w:r>
      <w:r w:rsidRPr="00AE4FCC">
        <w:rPr>
          <w:i/>
          <w:color w:val="000000"/>
          <w:szCs w:val="24"/>
        </w:rPr>
        <w:t>Chicago Board of Election Commissioners</w:t>
      </w:r>
      <w:r w:rsidRPr="00AE4FCC">
        <w:rPr>
          <w:color w:val="000000"/>
          <w:szCs w:val="24"/>
        </w:rPr>
        <w:t>, 1993.</w:t>
      </w:r>
    </w:p>
    <w:p w14:paraId="43263FD5"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2D6BA2C0"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 xml:space="preserve">Private Plaintiffs, </w:t>
      </w:r>
      <w:r w:rsidRPr="00AE4FCC">
        <w:rPr>
          <w:i/>
          <w:color w:val="000000"/>
          <w:szCs w:val="24"/>
        </w:rPr>
        <w:t>Reyes</w:t>
      </w:r>
      <w:r w:rsidRPr="00AE4FCC">
        <w:rPr>
          <w:color w:val="000000"/>
          <w:szCs w:val="24"/>
        </w:rPr>
        <w:t xml:space="preserve"> v. </w:t>
      </w:r>
      <w:r w:rsidRPr="00AE4FCC">
        <w:rPr>
          <w:i/>
          <w:color w:val="000000"/>
          <w:szCs w:val="24"/>
        </w:rPr>
        <w:t>City of Dinuba, Ca.</w:t>
      </w:r>
      <w:r w:rsidRPr="00AE4FCC">
        <w:rPr>
          <w:color w:val="000000"/>
          <w:szCs w:val="24"/>
        </w:rPr>
        <w:t>, 1993, settled before trial.</w:t>
      </w:r>
    </w:p>
    <w:p w14:paraId="154F6776"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2240C6D4"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 xml:space="preserve">MALDEF, </w:t>
      </w:r>
      <w:r w:rsidRPr="00AE4FCC">
        <w:rPr>
          <w:i/>
          <w:color w:val="000000"/>
          <w:szCs w:val="24"/>
        </w:rPr>
        <w:t>Valadez</w:t>
      </w:r>
      <w:r w:rsidRPr="00AE4FCC">
        <w:rPr>
          <w:color w:val="000000"/>
          <w:szCs w:val="24"/>
        </w:rPr>
        <w:t xml:space="preserve"> v. </w:t>
      </w:r>
      <w:r w:rsidRPr="00AE4FCC">
        <w:rPr>
          <w:i/>
          <w:color w:val="000000"/>
          <w:szCs w:val="24"/>
        </w:rPr>
        <w:t>City of Santa Maria</w:t>
      </w:r>
      <w:r w:rsidRPr="00AE4FCC">
        <w:rPr>
          <w:color w:val="000000"/>
          <w:szCs w:val="24"/>
        </w:rPr>
        <w:t>, 1994.</w:t>
      </w:r>
    </w:p>
    <w:p w14:paraId="2A1865E5"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0509C27C"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MALDEF, 2001 California redistricting.</w:t>
      </w:r>
    </w:p>
    <w:p w14:paraId="6276BCAD"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00312A71"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City of Salinas, California, 2001 redistricting of County Board of Supervisors.</w:t>
      </w:r>
    </w:p>
    <w:p w14:paraId="7935F29C"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25A94868"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City of Chino, California, California Voting Rights Act, 2003.</w:t>
      </w:r>
    </w:p>
    <w:p w14:paraId="6A4B77B3"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6C3BF786" w14:textId="77777777" w:rsidR="003E593D"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 xml:space="preserve">Leadership Conference on Civil Rights, on Hanford Unified School District and Modesto City </w:t>
      </w:r>
    </w:p>
    <w:p w14:paraId="5393C64A" w14:textId="77777777" w:rsidR="00BD6321" w:rsidRPr="00AE4FCC" w:rsidRDefault="003E593D"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b/>
      </w:r>
      <w:r w:rsidR="00BD6321" w:rsidRPr="00AE4FCC">
        <w:rPr>
          <w:color w:val="000000"/>
          <w:szCs w:val="24"/>
        </w:rPr>
        <w:t>Council, 2004</w:t>
      </w:r>
    </w:p>
    <w:p w14:paraId="672AF366"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75C88D2F" w14:textId="77777777" w:rsidR="003E593D"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 xml:space="preserve">Democratic State Central Committee of California, Comment for the U.S. Department of Justice </w:t>
      </w:r>
    </w:p>
    <w:p w14:paraId="29DD2AF4" w14:textId="77777777" w:rsidR="00BD6321" w:rsidRPr="00AE4FCC" w:rsidRDefault="003E593D"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ab/>
      </w:r>
      <w:r w:rsidR="00BD6321" w:rsidRPr="00AE4FCC">
        <w:rPr>
          <w:color w:val="000000"/>
          <w:szCs w:val="24"/>
        </w:rPr>
        <w:t>on scheduling of election in State Senate District 15, 2010</w:t>
      </w:r>
      <w:r w:rsidR="003359E7" w:rsidRPr="00AE4FCC">
        <w:rPr>
          <w:color w:val="000000"/>
          <w:szCs w:val="24"/>
        </w:rPr>
        <w:t>.</w:t>
      </w:r>
    </w:p>
    <w:p w14:paraId="24C59541"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p>
    <w:p w14:paraId="4AFBA472" w14:textId="33EBC416"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color w:val="000000"/>
          <w:szCs w:val="24"/>
        </w:rPr>
      </w:pPr>
      <w:r w:rsidRPr="00AE4FCC">
        <w:rPr>
          <w:color w:val="000000"/>
          <w:szCs w:val="24"/>
        </w:rPr>
        <w:t>City of Lancaster, California, California Voting Rights Act, 2014</w:t>
      </w:r>
      <w:r w:rsidR="00620743">
        <w:rPr>
          <w:color w:val="000000"/>
          <w:szCs w:val="24"/>
        </w:rPr>
        <w:t xml:space="preserve"> and 2024</w:t>
      </w:r>
      <w:r w:rsidR="003359E7" w:rsidRPr="00AE4FCC">
        <w:rPr>
          <w:color w:val="000000"/>
          <w:szCs w:val="24"/>
        </w:rPr>
        <w:t>.</w:t>
      </w:r>
    </w:p>
    <w:p w14:paraId="32E08E58" w14:textId="77777777" w:rsidR="00466A03" w:rsidRPr="00AE4FCC" w:rsidRDefault="00466A03"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contextualSpacing/>
        <w:rPr>
          <w:color w:val="000000"/>
          <w:szCs w:val="24"/>
        </w:rPr>
      </w:pPr>
    </w:p>
    <w:p w14:paraId="6BC19324" w14:textId="39B8A5BF" w:rsidR="00466A03" w:rsidRDefault="00466A03"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contextualSpacing/>
        <w:rPr>
          <w:color w:val="000000"/>
          <w:szCs w:val="24"/>
        </w:rPr>
      </w:pPr>
      <w:r w:rsidRPr="00AE4FCC">
        <w:rPr>
          <w:color w:val="000000"/>
          <w:szCs w:val="24"/>
        </w:rPr>
        <w:t>Fullerton School Board case, settled before trial.</w:t>
      </w:r>
    </w:p>
    <w:p w14:paraId="7BBB7456" w14:textId="28C571C4" w:rsidR="00E4764F" w:rsidRDefault="00E4764F"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contextualSpacing/>
        <w:rPr>
          <w:color w:val="000000"/>
          <w:szCs w:val="24"/>
        </w:rPr>
      </w:pPr>
    </w:p>
    <w:p w14:paraId="39AA241A" w14:textId="63D2F109" w:rsidR="00E4764F" w:rsidRDefault="00E4764F"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contextualSpacing/>
        <w:rPr>
          <w:color w:val="000000"/>
          <w:szCs w:val="24"/>
        </w:rPr>
      </w:pPr>
      <w:r>
        <w:rPr>
          <w:color w:val="000000"/>
          <w:szCs w:val="24"/>
        </w:rPr>
        <w:t>Amicus Curiae Brief, 9</w:t>
      </w:r>
      <w:r w:rsidRPr="00E4764F">
        <w:rPr>
          <w:color w:val="000000"/>
          <w:szCs w:val="24"/>
          <w:vertAlign w:val="superscript"/>
        </w:rPr>
        <w:t>th</w:t>
      </w:r>
      <w:r>
        <w:rPr>
          <w:color w:val="000000"/>
          <w:szCs w:val="24"/>
        </w:rPr>
        <w:t xml:space="preserve"> Circuit Court of Appeals, </w:t>
      </w:r>
      <w:r w:rsidRPr="00E4764F">
        <w:rPr>
          <w:i/>
          <w:color w:val="000000"/>
          <w:szCs w:val="24"/>
        </w:rPr>
        <w:t>Higgins v. Becerra</w:t>
      </w:r>
      <w:r>
        <w:rPr>
          <w:color w:val="000000"/>
          <w:szCs w:val="24"/>
        </w:rPr>
        <w:t>.</w:t>
      </w:r>
    </w:p>
    <w:p w14:paraId="2E75DBFC" w14:textId="7A8513BB" w:rsidR="00D8772B" w:rsidRDefault="00D8772B"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contextualSpacing/>
        <w:rPr>
          <w:color w:val="000000"/>
          <w:szCs w:val="24"/>
        </w:rPr>
      </w:pPr>
    </w:p>
    <w:p w14:paraId="5E52EE2F" w14:textId="436A6A7A" w:rsidR="00D8772B" w:rsidRDefault="00D8772B"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contextualSpacing/>
        <w:rPr>
          <w:color w:val="000000"/>
          <w:szCs w:val="24"/>
        </w:rPr>
      </w:pPr>
      <w:r>
        <w:rPr>
          <w:color w:val="000000"/>
          <w:szCs w:val="24"/>
        </w:rPr>
        <w:t>Asian-American Plaintiffs</w:t>
      </w:r>
      <w:r w:rsidR="004E07ED">
        <w:rPr>
          <w:color w:val="000000"/>
          <w:szCs w:val="24"/>
        </w:rPr>
        <w:t xml:space="preserve">, potential CVRA case </w:t>
      </w:r>
      <w:r w:rsidR="00F966F9">
        <w:rPr>
          <w:color w:val="000000"/>
          <w:szCs w:val="24"/>
        </w:rPr>
        <w:t>against City of San Marino, CA.</w:t>
      </w:r>
    </w:p>
    <w:p w14:paraId="6483A8A7" w14:textId="29EA02CF" w:rsidR="0027027A" w:rsidRDefault="0027027A"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contextualSpacing/>
        <w:rPr>
          <w:color w:val="000000"/>
          <w:szCs w:val="24"/>
        </w:rPr>
      </w:pPr>
    </w:p>
    <w:p w14:paraId="117A8782" w14:textId="0D759E59" w:rsidR="0027027A" w:rsidRDefault="0027027A"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contextualSpacing/>
        <w:rPr>
          <w:color w:val="000000"/>
          <w:szCs w:val="24"/>
        </w:rPr>
      </w:pPr>
      <w:r>
        <w:rPr>
          <w:color w:val="000000"/>
          <w:szCs w:val="24"/>
        </w:rPr>
        <w:t>City of West Sacramento</w:t>
      </w:r>
    </w:p>
    <w:p w14:paraId="4E3E24A1" w14:textId="52ECB298" w:rsidR="00C348C4" w:rsidRDefault="00C348C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contextualSpacing/>
        <w:rPr>
          <w:color w:val="000000"/>
          <w:szCs w:val="24"/>
        </w:rPr>
      </w:pPr>
    </w:p>
    <w:p w14:paraId="6C86D4D5" w14:textId="1661B9B8" w:rsidR="00C348C4" w:rsidRPr="00AE4FCC" w:rsidRDefault="00C348C4"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contextualSpacing/>
        <w:rPr>
          <w:color w:val="000000"/>
          <w:szCs w:val="24"/>
        </w:rPr>
      </w:pPr>
      <w:r>
        <w:rPr>
          <w:color w:val="000000"/>
          <w:szCs w:val="24"/>
        </w:rPr>
        <w:t>Huntington Beach Union High School District</w:t>
      </w:r>
    </w:p>
    <w:p w14:paraId="7C36CFB9"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contextualSpacing/>
        <w:rPr>
          <w:color w:val="000000"/>
          <w:szCs w:val="24"/>
        </w:rPr>
      </w:pPr>
    </w:p>
    <w:p w14:paraId="5DCBF1F4"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contextualSpacing/>
        <w:jc w:val="center"/>
        <w:rPr>
          <w:color w:val="000000"/>
          <w:szCs w:val="24"/>
        </w:rPr>
      </w:pPr>
      <w:r w:rsidRPr="00AE4FCC">
        <w:rPr>
          <w:b/>
          <w:color w:val="000000"/>
          <w:szCs w:val="24"/>
        </w:rPr>
        <w:t>CURRENT RESEARCH</w:t>
      </w:r>
    </w:p>
    <w:p w14:paraId="740E0051"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contextualSpacing/>
        <w:rPr>
          <w:color w:val="000000"/>
          <w:szCs w:val="24"/>
        </w:rPr>
      </w:pPr>
    </w:p>
    <w:p w14:paraId="582F2C18"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ind w:left="720" w:hanging="720"/>
        <w:contextualSpacing/>
        <w:rPr>
          <w:iCs/>
          <w:color w:val="000000"/>
          <w:szCs w:val="24"/>
        </w:rPr>
      </w:pPr>
      <w:r w:rsidRPr="00AE4FCC">
        <w:rPr>
          <w:i/>
          <w:color w:val="000000"/>
          <w:szCs w:val="24"/>
        </w:rPr>
        <w:t xml:space="preserve">Separate But </w:t>
      </w:r>
      <w:r w:rsidRPr="00AE4FCC">
        <w:rPr>
          <w:i/>
          <w:color w:val="000000"/>
          <w:szCs w:val="24"/>
          <w:u w:val="single"/>
        </w:rPr>
        <w:t>Not Equal</w:t>
      </w:r>
      <w:r w:rsidRPr="00AE4FCC">
        <w:rPr>
          <w:i/>
          <w:color w:val="000000"/>
          <w:szCs w:val="24"/>
        </w:rPr>
        <w:t xml:space="preserve">: The </w:t>
      </w:r>
      <w:r w:rsidRPr="00AE4FCC">
        <w:rPr>
          <w:color w:val="000000"/>
          <w:szCs w:val="24"/>
        </w:rPr>
        <w:t>Cumming</w:t>
      </w:r>
      <w:r w:rsidRPr="00AE4FCC">
        <w:rPr>
          <w:i/>
          <w:color w:val="000000"/>
          <w:szCs w:val="24"/>
        </w:rPr>
        <w:t xml:space="preserve"> Case and Race Relations in America</w:t>
      </w:r>
      <w:r w:rsidRPr="00AE4FCC">
        <w:rPr>
          <w:color w:val="000000"/>
          <w:szCs w:val="24"/>
        </w:rPr>
        <w:t xml:space="preserve"> (University of Kansas Press, under contract)</w:t>
      </w:r>
      <w:r w:rsidR="00DE5888" w:rsidRPr="00AE4FCC">
        <w:rPr>
          <w:iCs/>
          <w:color w:val="000000"/>
          <w:szCs w:val="24"/>
        </w:rPr>
        <w:t>.</w:t>
      </w:r>
    </w:p>
    <w:p w14:paraId="24BB7A8C"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contextualSpacing/>
        <w:rPr>
          <w:i/>
          <w:color w:val="000000"/>
          <w:szCs w:val="24"/>
        </w:rPr>
      </w:pPr>
    </w:p>
    <w:p w14:paraId="475920EE"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ind w:left="720" w:hanging="720"/>
        <w:contextualSpacing/>
        <w:rPr>
          <w:color w:val="000000"/>
          <w:szCs w:val="24"/>
        </w:rPr>
      </w:pPr>
      <w:r w:rsidRPr="00AE4FCC">
        <w:rPr>
          <w:i/>
          <w:color w:val="000000"/>
          <w:szCs w:val="24"/>
        </w:rPr>
        <w:t>“The Supremacy of Equal Rights”: School Desegregation in Nineteenth Century America</w:t>
      </w:r>
      <w:r w:rsidRPr="00AE4FCC">
        <w:rPr>
          <w:color w:val="000000"/>
          <w:szCs w:val="24"/>
        </w:rPr>
        <w:t xml:space="preserve"> (Cambridge University Press, under contract), a collection of three of my revised essays.</w:t>
      </w:r>
    </w:p>
    <w:p w14:paraId="41511CA8"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contextualSpacing/>
        <w:rPr>
          <w:color w:val="000000"/>
          <w:szCs w:val="24"/>
        </w:rPr>
      </w:pPr>
    </w:p>
    <w:p w14:paraId="5FC53CD6"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ind w:left="720" w:hanging="720"/>
        <w:contextualSpacing/>
        <w:rPr>
          <w:color w:val="000000"/>
          <w:szCs w:val="24"/>
        </w:rPr>
      </w:pPr>
      <w:r w:rsidRPr="00AE4FCC">
        <w:rPr>
          <w:i/>
          <w:color w:val="000000"/>
          <w:szCs w:val="24"/>
        </w:rPr>
        <w:t>“The Onward March of Right Principles”: School Segregation and Race Relations in the 19th Century United States</w:t>
      </w:r>
      <w:r w:rsidRPr="00AE4FCC">
        <w:rPr>
          <w:color w:val="000000"/>
          <w:szCs w:val="24"/>
        </w:rPr>
        <w:t xml:space="preserve"> (book) is an investigation of late nineteenth century state and federal court cases and the adoption of state laws on racial discrimination in schools in 22 states.</w:t>
      </w:r>
      <w:r w:rsidR="008F6761" w:rsidRPr="00AE4FCC">
        <w:rPr>
          <w:color w:val="000000"/>
          <w:szCs w:val="24"/>
        </w:rPr>
        <w:t xml:space="preserve"> </w:t>
      </w:r>
      <w:r w:rsidRPr="00AE4FCC">
        <w:rPr>
          <w:color w:val="000000"/>
          <w:szCs w:val="24"/>
        </w:rPr>
        <w:t>The purposes are to throw new light upon black political power and the black social structure; to discover the identities and motivations of white supporters and opponents of black civil rights; to illuminate the murky history of the lower courts; and to integrate legislative and judicial history into a broader socio-political history.</w:t>
      </w:r>
    </w:p>
    <w:p w14:paraId="2CBBB57C"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contextualSpacing/>
        <w:rPr>
          <w:color w:val="000000"/>
          <w:szCs w:val="24"/>
        </w:rPr>
      </w:pPr>
    </w:p>
    <w:p w14:paraId="7F5F545C" w14:textId="77777777" w:rsidR="00841B78" w:rsidRDefault="00841B78" w:rsidP="00841B78">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contextualSpacing/>
        <w:rPr>
          <w:i/>
          <w:color w:val="000000"/>
          <w:szCs w:val="24"/>
        </w:rPr>
      </w:pPr>
      <w:r w:rsidRPr="00841B78">
        <w:rPr>
          <w:i/>
          <w:color w:val="000000"/>
          <w:szCs w:val="24"/>
        </w:rPr>
        <w:t>The Democracy Cycle:  How Voter Suppression Has Followed Voter Expansion and What We</w:t>
      </w:r>
    </w:p>
    <w:p w14:paraId="5D381CEC" w14:textId="073444F0" w:rsidR="00BD6321" w:rsidRPr="00AE4FCC" w:rsidRDefault="00841B78" w:rsidP="00841B78">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contextualSpacing/>
        <w:rPr>
          <w:color w:val="000000"/>
          <w:szCs w:val="24"/>
        </w:rPr>
      </w:pPr>
      <w:r>
        <w:rPr>
          <w:i/>
          <w:color w:val="000000"/>
          <w:szCs w:val="24"/>
        </w:rPr>
        <w:tab/>
      </w:r>
      <w:r w:rsidRPr="00841B78">
        <w:rPr>
          <w:i/>
          <w:color w:val="000000"/>
          <w:szCs w:val="24"/>
        </w:rPr>
        <w:t xml:space="preserve"> Can Do About It</w:t>
      </w:r>
      <w:r>
        <w:rPr>
          <w:color w:val="000000"/>
          <w:szCs w:val="24"/>
        </w:rPr>
        <w:t>.</w:t>
      </w:r>
    </w:p>
    <w:p w14:paraId="4CBA73D5" w14:textId="77777777" w:rsidR="00BD6321" w:rsidRPr="00AE4FCC" w:rsidRDefault="00BD6321" w:rsidP="005574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contextualSpacing/>
        <w:rPr>
          <w:color w:val="000000"/>
          <w:szCs w:val="24"/>
        </w:rPr>
      </w:pPr>
    </w:p>
    <w:p w14:paraId="27FA9403" w14:textId="117374B3" w:rsidR="00BD6321" w:rsidRPr="00AE4FCC" w:rsidRDefault="00BD6321" w:rsidP="006707BA">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contextualSpacing/>
        <w:rPr>
          <w:szCs w:val="24"/>
        </w:rPr>
      </w:pPr>
      <w:r w:rsidRPr="00AE4FCC">
        <w:rPr>
          <w:color w:val="000000"/>
          <w:szCs w:val="24"/>
        </w:rPr>
        <w:tab/>
      </w:r>
      <w:r w:rsidRPr="00AE4FCC">
        <w:rPr>
          <w:color w:val="000000"/>
          <w:szCs w:val="24"/>
        </w:rPr>
        <w:tab/>
      </w:r>
      <w:r w:rsidRPr="00AE4FCC">
        <w:rPr>
          <w:color w:val="000000"/>
          <w:szCs w:val="24"/>
        </w:rPr>
        <w:tab/>
      </w:r>
      <w:r w:rsidRPr="00AE4FCC">
        <w:rPr>
          <w:color w:val="000000"/>
          <w:szCs w:val="24"/>
        </w:rPr>
        <w:tab/>
      </w:r>
      <w:r w:rsidRPr="00AE4FCC">
        <w:rPr>
          <w:color w:val="000000"/>
          <w:szCs w:val="24"/>
        </w:rPr>
        <w:tab/>
      </w:r>
      <w:r w:rsidRPr="00AE4FCC">
        <w:rPr>
          <w:color w:val="000000"/>
          <w:szCs w:val="24"/>
        </w:rPr>
        <w:tab/>
      </w:r>
      <w:r w:rsidRPr="00AE4FCC">
        <w:rPr>
          <w:color w:val="000000"/>
          <w:szCs w:val="24"/>
        </w:rPr>
        <w:tab/>
      </w:r>
      <w:r w:rsidRPr="00AE4FCC">
        <w:rPr>
          <w:color w:val="000000"/>
          <w:szCs w:val="24"/>
        </w:rPr>
        <w:tab/>
      </w:r>
      <w:r w:rsidR="00152B36">
        <w:rPr>
          <w:color w:val="000000"/>
          <w:szCs w:val="24"/>
        </w:rPr>
        <w:t>February 202</w:t>
      </w:r>
      <w:r w:rsidR="00750AA3">
        <w:rPr>
          <w:color w:val="000000"/>
          <w:szCs w:val="24"/>
        </w:rPr>
        <w:t>4</w:t>
      </w:r>
    </w:p>
    <w:sectPr w:rsidR="00BD6321" w:rsidRPr="00AE4FCC">
      <w:headerReference w:type="even" r:id="rId19"/>
      <w:headerReference w:type="default" r:id="rId20"/>
      <w:footerReference w:type="even" r:id="rId21"/>
      <w:footerReference w:type="default" r:id="rId22"/>
      <w:type w:val="continuous"/>
      <w:pgSz w:w="12240" w:h="15840"/>
      <w:pgMar w:top="1920" w:right="1440" w:bottom="1920" w:left="1350" w:header="1440" w:footer="144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87E7C4" w14:textId="77777777" w:rsidR="00856B87" w:rsidRDefault="00856B87">
      <w:r>
        <w:separator/>
      </w:r>
    </w:p>
  </w:endnote>
  <w:endnote w:type="continuationSeparator" w:id="0">
    <w:p w14:paraId="07A1A598" w14:textId="77777777" w:rsidR="00856B87" w:rsidRDefault="00856B87">
      <w:r>
        <w:continuationSeparator/>
      </w:r>
    </w:p>
  </w:endnote>
  <w:endnote w:type="continuationNotice" w:id="1">
    <w:p w14:paraId="2A894159" w14:textId="77777777" w:rsidR="00856B87" w:rsidRDefault="00856B8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NewRomanPSMT">
    <w:altName w:val="Times New Roman"/>
    <w:panose1 w:val="00000000000000000000"/>
    <w:charset w:val="EE"/>
    <w:family w:val="auto"/>
    <w:notTrueType/>
    <w:pitch w:val="default"/>
    <w:sig w:usb0="00000005" w:usb1="00000000" w:usb2="00000000" w:usb3="00000000" w:csb0="00000002"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2A7416" w14:textId="77777777" w:rsidR="00761EA3" w:rsidRDefault="00761EA3">
    <w:pPr>
      <w:framePr w:w="9360" w:h="280" w:hRule="exact" w:wrap="notBeside" w:vAnchor="page" w:hAnchor="text" w:y="14112"/>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line="0" w:lineRule="atLeast"/>
      <w:jc w:val="center"/>
      <w:rPr>
        <w:vanish/>
      </w:rPr>
    </w:pPr>
    <w:r>
      <w:rPr>
        <w:color w:val="000000"/>
      </w:rPr>
      <w:pgNum/>
    </w:r>
  </w:p>
  <w:p w14:paraId="6DB46793" w14:textId="77777777" w:rsidR="00761EA3" w:rsidRDefault="00761EA3">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1FCC8" w14:textId="77777777" w:rsidR="00761EA3" w:rsidRDefault="00761EA3">
    <w:pPr>
      <w:framePr w:w="9360" w:h="280" w:hRule="exact" w:wrap="notBeside" w:vAnchor="page" w:hAnchor="text" w:y="14112"/>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vanish/>
      </w:rPr>
    </w:pPr>
    <w:r>
      <w:rPr>
        <w:color w:val="000000"/>
      </w:rPr>
      <w:pgNum/>
    </w:r>
  </w:p>
  <w:p w14:paraId="484B5521" w14:textId="77777777" w:rsidR="00761EA3" w:rsidRDefault="00761EA3">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line="0" w:lineRule="atLea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7AC3AA" w14:textId="77777777" w:rsidR="00856B87" w:rsidRDefault="00856B87">
      <w:r>
        <w:separator/>
      </w:r>
    </w:p>
  </w:footnote>
  <w:footnote w:type="continuationSeparator" w:id="0">
    <w:p w14:paraId="1DF72E0C" w14:textId="77777777" w:rsidR="00856B87" w:rsidRDefault="00856B87">
      <w:r>
        <w:continuationSeparator/>
      </w:r>
    </w:p>
  </w:footnote>
  <w:footnote w:type="continuationNotice" w:id="1">
    <w:p w14:paraId="6C45C50F" w14:textId="77777777" w:rsidR="00856B87" w:rsidRDefault="00856B8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21403E" w14:textId="77777777" w:rsidR="00761EA3" w:rsidRDefault="00761EA3">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51778" w14:textId="77777777" w:rsidR="00761EA3" w:rsidRPr="00557414" w:rsidRDefault="00761EA3" w:rsidP="005574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lowerRoman"/>
      <w:suff w:val="nothing"/>
      <w:lvlText w:val="%9)"/>
      <w:lvlJc w:val="left"/>
    </w:lvl>
  </w:abstractNum>
  <w:num w:numId="1" w16cid:durableId="1099818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bordersDoNotSurroundHeader/>
  <w:bordersDoNotSurroundFooter/>
  <w:proofState w:spelling="clean"/>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6FEB"/>
    <w:rsid w:val="0001358A"/>
    <w:rsid w:val="00093F0A"/>
    <w:rsid w:val="00096351"/>
    <w:rsid w:val="000A49DF"/>
    <w:rsid w:val="000B2D31"/>
    <w:rsid w:val="000F4997"/>
    <w:rsid w:val="001024D4"/>
    <w:rsid w:val="00103688"/>
    <w:rsid w:val="00121A21"/>
    <w:rsid w:val="001237EB"/>
    <w:rsid w:val="00126185"/>
    <w:rsid w:val="0012777D"/>
    <w:rsid w:val="00141B25"/>
    <w:rsid w:val="00152B36"/>
    <w:rsid w:val="00161AB5"/>
    <w:rsid w:val="0017603C"/>
    <w:rsid w:val="001D720F"/>
    <w:rsid w:val="001E7B22"/>
    <w:rsid w:val="00234BA2"/>
    <w:rsid w:val="002410CB"/>
    <w:rsid w:val="002478E5"/>
    <w:rsid w:val="00253FA1"/>
    <w:rsid w:val="00265B1B"/>
    <w:rsid w:val="0027027A"/>
    <w:rsid w:val="0028085E"/>
    <w:rsid w:val="0028749D"/>
    <w:rsid w:val="00287BA8"/>
    <w:rsid w:val="00296AC7"/>
    <w:rsid w:val="002A4389"/>
    <w:rsid w:val="002B7161"/>
    <w:rsid w:val="00304A5D"/>
    <w:rsid w:val="00312100"/>
    <w:rsid w:val="003157E7"/>
    <w:rsid w:val="003247DD"/>
    <w:rsid w:val="0032603D"/>
    <w:rsid w:val="003359E7"/>
    <w:rsid w:val="003365B6"/>
    <w:rsid w:val="003611EE"/>
    <w:rsid w:val="003615E9"/>
    <w:rsid w:val="00361E4A"/>
    <w:rsid w:val="0036285D"/>
    <w:rsid w:val="00363ED2"/>
    <w:rsid w:val="003714E4"/>
    <w:rsid w:val="00374087"/>
    <w:rsid w:val="003E593D"/>
    <w:rsid w:val="003F0E15"/>
    <w:rsid w:val="003F5367"/>
    <w:rsid w:val="00403425"/>
    <w:rsid w:val="00406B23"/>
    <w:rsid w:val="00422788"/>
    <w:rsid w:val="00452607"/>
    <w:rsid w:val="004536EA"/>
    <w:rsid w:val="00455DB3"/>
    <w:rsid w:val="00464278"/>
    <w:rsid w:val="00466A03"/>
    <w:rsid w:val="00483DFB"/>
    <w:rsid w:val="004B0F6D"/>
    <w:rsid w:val="004E07ED"/>
    <w:rsid w:val="0050215E"/>
    <w:rsid w:val="005072C6"/>
    <w:rsid w:val="00507487"/>
    <w:rsid w:val="005351BE"/>
    <w:rsid w:val="00552900"/>
    <w:rsid w:val="00557414"/>
    <w:rsid w:val="00561E49"/>
    <w:rsid w:val="005731B2"/>
    <w:rsid w:val="0058337A"/>
    <w:rsid w:val="005B06C1"/>
    <w:rsid w:val="005C6C6A"/>
    <w:rsid w:val="005E2E5E"/>
    <w:rsid w:val="00601122"/>
    <w:rsid w:val="00620743"/>
    <w:rsid w:val="00635CDE"/>
    <w:rsid w:val="006449DB"/>
    <w:rsid w:val="006707BA"/>
    <w:rsid w:val="00673017"/>
    <w:rsid w:val="006B49AB"/>
    <w:rsid w:val="00700533"/>
    <w:rsid w:val="00700932"/>
    <w:rsid w:val="00725F6E"/>
    <w:rsid w:val="00726B3B"/>
    <w:rsid w:val="00733A36"/>
    <w:rsid w:val="00733DC6"/>
    <w:rsid w:val="007461A7"/>
    <w:rsid w:val="00750AA3"/>
    <w:rsid w:val="00761EA3"/>
    <w:rsid w:val="00765204"/>
    <w:rsid w:val="007D4C66"/>
    <w:rsid w:val="00811E0A"/>
    <w:rsid w:val="00814B6B"/>
    <w:rsid w:val="00821650"/>
    <w:rsid w:val="00823817"/>
    <w:rsid w:val="00835A10"/>
    <w:rsid w:val="00841B78"/>
    <w:rsid w:val="008421F4"/>
    <w:rsid w:val="008434FA"/>
    <w:rsid w:val="00856B87"/>
    <w:rsid w:val="00860DF9"/>
    <w:rsid w:val="008803EA"/>
    <w:rsid w:val="00881608"/>
    <w:rsid w:val="008977ED"/>
    <w:rsid w:val="008B7A2E"/>
    <w:rsid w:val="008C48E4"/>
    <w:rsid w:val="008C7C54"/>
    <w:rsid w:val="008F434A"/>
    <w:rsid w:val="008F6761"/>
    <w:rsid w:val="008F7F14"/>
    <w:rsid w:val="00907FA4"/>
    <w:rsid w:val="00911954"/>
    <w:rsid w:val="009243A0"/>
    <w:rsid w:val="00925FF7"/>
    <w:rsid w:val="00931100"/>
    <w:rsid w:val="00943A8C"/>
    <w:rsid w:val="009B1206"/>
    <w:rsid w:val="009D2255"/>
    <w:rsid w:val="009D3A9D"/>
    <w:rsid w:val="009E25A3"/>
    <w:rsid w:val="009F615B"/>
    <w:rsid w:val="00A149DA"/>
    <w:rsid w:val="00A3546B"/>
    <w:rsid w:val="00A415DE"/>
    <w:rsid w:val="00A55224"/>
    <w:rsid w:val="00A57A7F"/>
    <w:rsid w:val="00AA17A0"/>
    <w:rsid w:val="00AB13FB"/>
    <w:rsid w:val="00AE3724"/>
    <w:rsid w:val="00AE4D0A"/>
    <w:rsid w:val="00AE4FCC"/>
    <w:rsid w:val="00AE6FEB"/>
    <w:rsid w:val="00AF7E33"/>
    <w:rsid w:val="00B025B5"/>
    <w:rsid w:val="00B05DAA"/>
    <w:rsid w:val="00B211A0"/>
    <w:rsid w:val="00B33038"/>
    <w:rsid w:val="00B728E1"/>
    <w:rsid w:val="00B86217"/>
    <w:rsid w:val="00B90FB7"/>
    <w:rsid w:val="00BB2AFA"/>
    <w:rsid w:val="00BD0534"/>
    <w:rsid w:val="00BD6321"/>
    <w:rsid w:val="00BE2152"/>
    <w:rsid w:val="00BF5709"/>
    <w:rsid w:val="00BF701A"/>
    <w:rsid w:val="00C22808"/>
    <w:rsid w:val="00C348C4"/>
    <w:rsid w:val="00C41D37"/>
    <w:rsid w:val="00C427AE"/>
    <w:rsid w:val="00C44BF6"/>
    <w:rsid w:val="00C700FF"/>
    <w:rsid w:val="00C9720F"/>
    <w:rsid w:val="00CD3579"/>
    <w:rsid w:val="00D1485D"/>
    <w:rsid w:val="00D4145D"/>
    <w:rsid w:val="00D47530"/>
    <w:rsid w:val="00D47B12"/>
    <w:rsid w:val="00D5084C"/>
    <w:rsid w:val="00D65162"/>
    <w:rsid w:val="00D75FD0"/>
    <w:rsid w:val="00D861B4"/>
    <w:rsid w:val="00D8772B"/>
    <w:rsid w:val="00D979A3"/>
    <w:rsid w:val="00DB3246"/>
    <w:rsid w:val="00DE4A9E"/>
    <w:rsid w:val="00DE5888"/>
    <w:rsid w:val="00DF3C70"/>
    <w:rsid w:val="00E02451"/>
    <w:rsid w:val="00E15E80"/>
    <w:rsid w:val="00E30392"/>
    <w:rsid w:val="00E417A6"/>
    <w:rsid w:val="00E4764F"/>
    <w:rsid w:val="00E77D34"/>
    <w:rsid w:val="00E9389B"/>
    <w:rsid w:val="00ED2CDD"/>
    <w:rsid w:val="00ED522E"/>
    <w:rsid w:val="00EE0A4A"/>
    <w:rsid w:val="00F02E7C"/>
    <w:rsid w:val="00F162F6"/>
    <w:rsid w:val="00F23443"/>
    <w:rsid w:val="00F34673"/>
    <w:rsid w:val="00F51D84"/>
    <w:rsid w:val="00F52123"/>
    <w:rsid w:val="00F52557"/>
    <w:rsid w:val="00F52C00"/>
    <w:rsid w:val="00F67837"/>
    <w:rsid w:val="00F913BE"/>
    <w:rsid w:val="00F94F5F"/>
    <w:rsid w:val="00F966F9"/>
    <w:rsid w:val="00FB0A95"/>
    <w:rsid w:val="00FF12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2F72591"/>
  <w15:chartTrackingRefBased/>
  <w15:docId w15:val="{A9E60748-099C-48F7-B27E-CAEF4A0D90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9243A0"/>
    <w:rPr>
      <w:color w:val="0563C1"/>
      <w:u w:val="single"/>
    </w:rPr>
  </w:style>
  <w:style w:type="paragraph" w:customStyle="1" w:styleId="17">
    <w:name w:val="_1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style>
  <w:style w:type="paragraph" w:customStyle="1" w:styleId="16">
    <w:name w:val="_16"/>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style>
  <w:style w:type="paragraph" w:customStyle="1" w:styleId="15">
    <w:name w:val="_15"/>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s>
      <w:ind w:left="2160"/>
    </w:pPr>
  </w:style>
  <w:style w:type="paragraph" w:customStyle="1" w:styleId="14">
    <w:name w:val="_14"/>
    <w:basedOn w:val="Normal"/>
    <w:pPr>
      <w:widowControl w:val="0"/>
      <w:tabs>
        <w:tab w:val="left" w:pos="2880"/>
        <w:tab w:val="left" w:pos="3600"/>
        <w:tab w:val="left" w:pos="4320"/>
        <w:tab w:val="left" w:pos="5040"/>
        <w:tab w:val="left" w:pos="5760"/>
        <w:tab w:val="left" w:pos="6480"/>
        <w:tab w:val="left" w:pos="7200"/>
        <w:tab w:val="left" w:pos="7920"/>
        <w:tab w:val="left" w:pos="8640"/>
      </w:tabs>
      <w:ind w:left="2880"/>
    </w:pPr>
  </w:style>
  <w:style w:type="paragraph" w:customStyle="1" w:styleId="13">
    <w:name w:val="_13"/>
    <w:basedOn w:val="Normal"/>
    <w:pPr>
      <w:widowControl w:val="0"/>
      <w:tabs>
        <w:tab w:val="left" w:pos="3600"/>
        <w:tab w:val="left" w:pos="4320"/>
        <w:tab w:val="left" w:pos="5040"/>
        <w:tab w:val="left" w:pos="5760"/>
        <w:tab w:val="left" w:pos="6480"/>
        <w:tab w:val="left" w:pos="7200"/>
        <w:tab w:val="left" w:pos="7920"/>
        <w:tab w:val="left" w:pos="8640"/>
      </w:tabs>
      <w:ind w:left="3600"/>
    </w:pPr>
  </w:style>
  <w:style w:type="paragraph" w:customStyle="1" w:styleId="12">
    <w:name w:val="_12"/>
    <w:basedOn w:val="Normal"/>
    <w:pPr>
      <w:widowControl w:val="0"/>
      <w:tabs>
        <w:tab w:val="left" w:pos="4320"/>
        <w:tab w:val="left" w:pos="5040"/>
        <w:tab w:val="left" w:pos="5760"/>
        <w:tab w:val="left" w:pos="6480"/>
        <w:tab w:val="left" w:pos="7200"/>
        <w:tab w:val="left" w:pos="7920"/>
        <w:tab w:val="left" w:pos="8640"/>
      </w:tabs>
      <w:ind w:left="4320"/>
    </w:pPr>
  </w:style>
  <w:style w:type="paragraph" w:customStyle="1" w:styleId="11">
    <w:name w:val="_11"/>
    <w:basedOn w:val="Normal"/>
    <w:pPr>
      <w:widowControl w:val="0"/>
      <w:tabs>
        <w:tab w:val="left" w:pos="5040"/>
        <w:tab w:val="left" w:pos="5760"/>
        <w:tab w:val="left" w:pos="6480"/>
        <w:tab w:val="left" w:pos="7200"/>
        <w:tab w:val="left" w:pos="7920"/>
        <w:tab w:val="left" w:pos="8640"/>
      </w:tabs>
      <w:ind w:left="5040"/>
    </w:pPr>
  </w:style>
  <w:style w:type="paragraph" w:customStyle="1" w:styleId="10">
    <w:name w:val="_10"/>
    <w:basedOn w:val="Normal"/>
    <w:pPr>
      <w:widowControl w:val="0"/>
      <w:tabs>
        <w:tab w:val="left" w:pos="5760"/>
        <w:tab w:val="left" w:pos="6480"/>
        <w:tab w:val="left" w:pos="7200"/>
        <w:tab w:val="left" w:pos="7920"/>
        <w:tab w:val="left" w:pos="8640"/>
      </w:tabs>
      <w:ind w:left="5760"/>
    </w:pPr>
  </w:style>
  <w:style w:type="paragraph" w:customStyle="1" w:styleId="Level9">
    <w:name w:val="Level 9"/>
    <w:basedOn w:val="Normal"/>
    <w:pPr>
      <w:widowControl w:val="0"/>
    </w:pPr>
    <w:rPr>
      <w:b/>
    </w:rPr>
  </w:style>
  <w:style w:type="paragraph" w:customStyle="1" w:styleId="QuickFormat1">
    <w:name w:val="QuickFormat1"/>
    <w:basedOn w:val="Normal"/>
    <w:pPr>
      <w:widowControl w:val="0"/>
    </w:pPr>
    <w:rPr>
      <w:color w:val="000000"/>
    </w:rPr>
  </w:style>
  <w:style w:type="paragraph" w:customStyle="1" w:styleId="26">
    <w:name w:val="_26"/>
    <w:basedOn w:val="Normal"/>
    <w:pPr>
      <w:widowControl w:val="0"/>
    </w:pPr>
  </w:style>
  <w:style w:type="paragraph" w:customStyle="1" w:styleId="25">
    <w:name w:val="_25"/>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style>
  <w:style w:type="paragraph" w:customStyle="1" w:styleId="24">
    <w:name w:val="_24"/>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s>
      <w:ind w:left="2160"/>
    </w:pPr>
  </w:style>
  <w:style w:type="paragraph" w:customStyle="1" w:styleId="23">
    <w:name w:val="_23"/>
    <w:basedOn w:val="Normal"/>
    <w:pPr>
      <w:widowControl w:val="0"/>
      <w:tabs>
        <w:tab w:val="left" w:pos="2880"/>
        <w:tab w:val="left" w:pos="3600"/>
        <w:tab w:val="left" w:pos="4320"/>
        <w:tab w:val="left" w:pos="5040"/>
        <w:tab w:val="left" w:pos="5760"/>
        <w:tab w:val="left" w:pos="6480"/>
        <w:tab w:val="left" w:pos="7200"/>
        <w:tab w:val="left" w:pos="7920"/>
        <w:tab w:val="left" w:pos="8640"/>
      </w:tabs>
      <w:ind w:left="2880"/>
    </w:pPr>
  </w:style>
  <w:style w:type="paragraph" w:customStyle="1" w:styleId="22">
    <w:name w:val="_22"/>
    <w:basedOn w:val="Normal"/>
    <w:pPr>
      <w:widowControl w:val="0"/>
      <w:tabs>
        <w:tab w:val="left" w:pos="3600"/>
        <w:tab w:val="left" w:pos="4320"/>
        <w:tab w:val="left" w:pos="5040"/>
        <w:tab w:val="left" w:pos="5760"/>
        <w:tab w:val="left" w:pos="6480"/>
        <w:tab w:val="left" w:pos="7200"/>
        <w:tab w:val="left" w:pos="7920"/>
        <w:tab w:val="left" w:pos="8640"/>
      </w:tabs>
      <w:ind w:left="3600"/>
    </w:pPr>
  </w:style>
  <w:style w:type="paragraph" w:customStyle="1" w:styleId="21">
    <w:name w:val="_21"/>
    <w:basedOn w:val="Normal"/>
    <w:pPr>
      <w:widowControl w:val="0"/>
      <w:tabs>
        <w:tab w:val="left" w:pos="4320"/>
        <w:tab w:val="left" w:pos="5040"/>
        <w:tab w:val="left" w:pos="5760"/>
        <w:tab w:val="left" w:pos="6480"/>
        <w:tab w:val="left" w:pos="7200"/>
        <w:tab w:val="left" w:pos="7920"/>
        <w:tab w:val="left" w:pos="8640"/>
      </w:tabs>
      <w:ind w:left="4320"/>
    </w:pPr>
  </w:style>
  <w:style w:type="paragraph" w:customStyle="1" w:styleId="20">
    <w:name w:val="_20"/>
    <w:basedOn w:val="Normal"/>
    <w:pPr>
      <w:widowControl w:val="0"/>
      <w:tabs>
        <w:tab w:val="left" w:pos="5040"/>
        <w:tab w:val="left" w:pos="5760"/>
        <w:tab w:val="left" w:pos="6480"/>
        <w:tab w:val="left" w:pos="7200"/>
        <w:tab w:val="left" w:pos="7920"/>
        <w:tab w:val="left" w:pos="8640"/>
      </w:tabs>
      <w:ind w:left="5040"/>
    </w:pPr>
  </w:style>
  <w:style w:type="paragraph" w:customStyle="1" w:styleId="19">
    <w:name w:val="_19"/>
    <w:basedOn w:val="Normal"/>
    <w:pPr>
      <w:widowControl w:val="0"/>
      <w:tabs>
        <w:tab w:val="left" w:pos="5760"/>
        <w:tab w:val="left" w:pos="6480"/>
        <w:tab w:val="left" w:pos="7200"/>
        <w:tab w:val="left" w:pos="7920"/>
        <w:tab w:val="left" w:pos="8640"/>
      </w:tabs>
      <w:ind w:left="5760"/>
    </w:pPr>
  </w:style>
  <w:style w:type="paragraph" w:customStyle="1" w:styleId="18">
    <w:name w:val="_18"/>
    <w:basedOn w:val="Normal"/>
    <w:pPr>
      <w:widowControl w:val="0"/>
      <w:tabs>
        <w:tab w:val="left" w:pos="6480"/>
        <w:tab w:val="left" w:pos="7200"/>
        <w:tab w:val="left" w:pos="7920"/>
        <w:tab w:val="left" w:pos="8640"/>
      </w:tabs>
      <w:ind w:left="6480"/>
    </w:pPr>
  </w:style>
  <w:style w:type="paragraph" w:customStyle="1" w:styleId="9">
    <w:name w:val="_9"/>
    <w:basedOn w:val="Normal"/>
    <w:pPr>
      <w:widowControl w:val="0"/>
      <w:tabs>
        <w:tab w:val="left" w:pos="6480"/>
        <w:tab w:val="left" w:pos="7200"/>
        <w:tab w:val="left" w:pos="7920"/>
        <w:tab w:val="left" w:pos="8640"/>
      </w:tabs>
      <w:ind w:left="6480"/>
    </w:pPr>
  </w:style>
  <w:style w:type="paragraph" w:customStyle="1" w:styleId="8">
    <w:name w:val="_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style>
  <w:style w:type="paragraph" w:customStyle="1" w:styleId="7">
    <w:name w:val="_7"/>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style>
  <w:style w:type="paragraph" w:customStyle="1" w:styleId="6">
    <w:name w:val="_6"/>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s>
      <w:ind w:left="2160"/>
    </w:pPr>
  </w:style>
  <w:style w:type="paragraph" w:customStyle="1" w:styleId="5">
    <w:name w:val="_5"/>
    <w:basedOn w:val="Normal"/>
    <w:pPr>
      <w:widowControl w:val="0"/>
      <w:tabs>
        <w:tab w:val="left" w:pos="2880"/>
        <w:tab w:val="left" w:pos="3600"/>
        <w:tab w:val="left" w:pos="4320"/>
        <w:tab w:val="left" w:pos="5040"/>
        <w:tab w:val="left" w:pos="5760"/>
        <w:tab w:val="left" w:pos="6480"/>
        <w:tab w:val="left" w:pos="7200"/>
        <w:tab w:val="left" w:pos="7920"/>
        <w:tab w:val="left" w:pos="8640"/>
      </w:tabs>
      <w:ind w:left="2880"/>
    </w:pPr>
  </w:style>
  <w:style w:type="paragraph" w:customStyle="1" w:styleId="4">
    <w:name w:val="_4"/>
    <w:basedOn w:val="Normal"/>
    <w:pPr>
      <w:widowControl w:val="0"/>
      <w:tabs>
        <w:tab w:val="left" w:pos="3600"/>
        <w:tab w:val="left" w:pos="4320"/>
        <w:tab w:val="left" w:pos="5040"/>
        <w:tab w:val="left" w:pos="5760"/>
        <w:tab w:val="left" w:pos="6480"/>
        <w:tab w:val="left" w:pos="7200"/>
        <w:tab w:val="left" w:pos="7920"/>
        <w:tab w:val="left" w:pos="8640"/>
      </w:tabs>
      <w:ind w:left="3600"/>
    </w:pPr>
  </w:style>
  <w:style w:type="paragraph" w:customStyle="1" w:styleId="3">
    <w:name w:val="_3"/>
    <w:basedOn w:val="Normal"/>
    <w:pPr>
      <w:widowControl w:val="0"/>
      <w:tabs>
        <w:tab w:val="left" w:pos="4320"/>
        <w:tab w:val="left" w:pos="5040"/>
        <w:tab w:val="left" w:pos="5760"/>
        <w:tab w:val="left" w:pos="6480"/>
        <w:tab w:val="left" w:pos="7200"/>
        <w:tab w:val="left" w:pos="7920"/>
        <w:tab w:val="left" w:pos="8640"/>
      </w:tabs>
      <w:ind w:left="4320"/>
    </w:pPr>
  </w:style>
  <w:style w:type="paragraph" w:customStyle="1" w:styleId="2">
    <w:name w:val="_2"/>
    <w:basedOn w:val="Normal"/>
    <w:pPr>
      <w:widowControl w:val="0"/>
      <w:tabs>
        <w:tab w:val="left" w:pos="5040"/>
        <w:tab w:val="left" w:pos="5760"/>
        <w:tab w:val="left" w:pos="6480"/>
        <w:tab w:val="left" w:pos="7200"/>
        <w:tab w:val="left" w:pos="7920"/>
        <w:tab w:val="left" w:pos="8640"/>
      </w:tabs>
      <w:ind w:left="5040"/>
    </w:pPr>
  </w:style>
  <w:style w:type="paragraph" w:customStyle="1" w:styleId="1">
    <w:name w:val="_1"/>
    <w:basedOn w:val="Normal"/>
    <w:pPr>
      <w:widowControl w:val="0"/>
      <w:tabs>
        <w:tab w:val="left" w:pos="5760"/>
        <w:tab w:val="left" w:pos="6480"/>
        <w:tab w:val="left" w:pos="7200"/>
        <w:tab w:val="left" w:pos="7920"/>
        <w:tab w:val="left" w:pos="8640"/>
      </w:tabs>
      <w:ind w:left="5760"/>
    </w:pPr>
  </w:style>
  <w:style w:type="paragraph" w:customStyle="1" w:styleId="a">
    <w:name w:val="_"/>
    <w:basedOn w:val="Normal"/>
    <w:pPr>
      <w:widowControl w:val="0"/>
      <w:tabs>
        <w:tab w:val="left" w:pos="6480"/>
        <w:tab w:val="left" w:pos="7200"/>
        <w:tab w:val="left" w:pos="7920"/>
        <w:tab w:val="left" w:pos="8640"/>
      </w:tabs>
      <w:ind w:left="6480"/>
    </w:pPr>
  </w:style>
  <w:style w:type="paragraph" w:customStyle="1" w:styleId="WPNormal">
    <w:name w:val="WP_Normal"/>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style>
  <w:style w:type="paragraph" w:customStyle="1" w:styleId="DefinitionT">
    <w:name w:val="Definition T"/>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style>
  <w:style w:type="paragraph" w:customStyle="1" w:styleId="DefinitionL">
    <w:name w:val="Definition L"/>
    <w:basedOn w:val="Normal"/>
    <w:pPr>
      <w:widowControl w:val="0"/>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pPr>
  </w:style>
  <w:style w:type="character" w:customStyle="1" w:styleId="Definition">
    <w:name w:val="Definition"/>
    <w:rPr>
      <w:i/>
    </w:rPr>
  </w:style>
  <w:style w:type="paragraph" w:customStyle="1" w:styleId="H1">
    <w:name w:val="H1"/>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Pr>
      <w:b/>
      <w:sz w:val="48"/>
    </w:rPr>
  </w:style>
  <w:style w:type="paragraph" w:customStyle="1" w:styleId="H2">
    <w:name w:val="H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Pr>
      <w:b/>
      <w:sz w:val="36"/>
    </w:rPr>
  </w:style>
  <w:style w:type="paragraph" w:customStyle="1" w:styleId="H3">
    <w:name w:val="H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Pr>
      <w:b/>
      <w:sz w:val="28"/>
    </w:rPr>
  </w:style>
  <w:style w:type="paragraph" w:customStyle="1" w:styleId="H4">
    <w:name w:val="H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Pr>
      <w:b/>
    </w:rPr>
  </w:style>
  <w:style w:type="paragraph" w:customStyle="1" w:styleId="H5">
    <w:name w:val="H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Pr>
      <w:b/>
      <w:sz w:val="20"/>
    </w:rPr>
  </w:style>
  <w:style w:type="paragraph" w:customStyle="1" w:styleId="H6">
    <w:name w:val="H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Pr>
      <w:b/>
      <w:sz w:val="16"/>
    </w:rPr>
  </w:style>
  <w:style w:type="paragraph" w:customStyle="1" w:styleId="Address">
    <w:name w:val="Address"/>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Pr>
      <w:i/>
    </w:rPr>
  </w:style>
  <w:style w:type="paragraph" w:customStyle="1" w:styleId="Blockquote">
    <w:name w:val="Blockquote"/>
    <w:basedOn w:val="Normal"/>
    <w:pPr>
      <w:widowControl w:val="0"/>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right="360"/>
    </w:pPr>
  </w:style>
  <w:style w:type="character" w:customStyle="1" w:styleId="CITE">
    <w:name w:val="CITE"/>
    <w:rPr>
      <w:i/>
    </w:rPr>
  </w:style>
  <w:style w:type="character" w:customStyle="1" w:styleId="CODE">
    <w:name w:val="CODE"/>
    <w:rPr>
      <w:rFonts w:ascii="Courier New" w:hAnsi="Courier New"/>
      <w:sz w:val="20"/>
    </w:rPr>
  </w:style>
  <w:style w:type="character" w:customStyle="1" w:styleId="WPEmphasis">
    <w:name w:val="WP_Emphasis"/>
    <w:rPr>
      <w:i/>
    </w:rPr>
  </w:style>
  <w:style w:type="character" w:customStyle="1" w:styleId="WPHyperlink">
    <w:name w:val="WP_Hyperlink"/>
    <w:rPr>
      <w:color w:val="0000FF"/>
      <w:u w:val="single"/>
    </w:rPr>
  </w:style>
  <w:style w:type="character" w:customStyle="1" w:styleId="FollowedHype">
    <w:name w:val="FollowedHype"/>
    <w:rPr>
      <w:color w:val="800080"/>
      <w:u w:val="single"/>
    </w:rPr>
  </w:style>
  <w:style w:type="character" w:customStyle="1" w:styleId="Keyboard">
    <w:name w:val="Keyboard"/>
    <w:rPr>
      <w:rFonts w:ascii="Courier New" w:hAnsi="Courier New"/>
      <w:b/>
      <w:sz w:val="20"/>
    </w:rPr>
  </w:style>
  <w:style w:type="paragraph" w:customStyle="1" w:styleId="Preformatted">
    <w:name w:val="Preformatted"/>
    <w:basedOn w:val="Normal"/>
    <w:pPr>
      <w:widowControl w:val="0"/>
      <w:tabs>
        <w:tab w:val="left" w:pos="0"/>
        <w:tab w:val="left" w:pos="959"/>
        <w:tab w:val="left" w:pos="1918"/>
        <w:tab w:val="left" w:pos="2876"/>
        <w:tab w:val="left" w:pos="3835"/>
        <w:tab w:val="left" w:pos="4794"/>
        <w:tab w:val="left" w:pos="5754"/>
        <w:tab w:val="left" w:pos="6713"/>
        <w:tab w:val="left" w:pos="7672"/>
        <w:tab w:val="left" w:pos="8630"/>
        <w:tab w:val="left" w:pos="9356"/>
      </w:tabs>
    </w:pPr>
    <w:rPr>
      <w:rFonts w:ascii="Courier New" w:hAnsi="Courier New"/>
      <w:sz w:val="20"/>
    </w:rPr>
  </w:style>
  <w:style w:type="paragraph" w:customStyle="1" w:styleId="zBottomof">
    <w:name w:val="zBottom of"/>
    <w:basedOn w:val="Normal"/>
    <w:pPr>
      <w:widowControl w:val="0"/>
      <w:pBdr>
        <w:top w:val="double" w:sz="1" w:space="0" w:color="000000"/>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pPr>
    <w:rPr>
      <w:rFonts w:ascii="Arial" w:hAnsi="Arial"/>
      <w:sz w:val="16"/>
    </w:rPr>
  </w:style>
  <w:style w:type="paragraph" w:customStyle="1" w:styleId="zTopofFor">
    <w:name w:val="zTop of For"/>
    <w:basedOn w:val="Normal"/>
    <w:pPr>
      <w:widowControl w:val="0"/>
      <w:pBdr>
        <w:bottom w:val="double" w:sz="1" w:space="0" w:color="000000"/>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pPr>
    <w:rPr>
      <w:rFonts w:ascii="Arial" w:hAnsi="Arial"/>
      <w:sz w:val="16"/>
    </w:rPr>
  </w:style>
  <w:style w:type="character" w:customStyle="1" w:styleId="Sample">
    <w:name w:val="Sample"/>
    <w:rPr>
      <w:rFonts w:ascii="Courier New" w:hAnsi="Courier New"/>
    </w:rPr>
  </w:style>
  <w:style w:type="character" w:customStyle="1" w:styleId="WPStrong">
    <w:name w:val="WP_Strong"/>
    <w:rPr>
      <w:b/>
    </w:rPr>
  </w:style>
  <w:style w:type="character" w:customStyle="1" w:styleId="Typewriter">
    <w:name w:val="Typewriter"/>
    <w:rPr>
      <w:rFonts w:ascii="Courier New" w:hAnsi="Courier New"/>
      <w:sz w:val="20"/>
    </w:rPr>
  </w:style>
  <w:style w:type="character" w:customStyle="1" w:styleId="Variable">
    <w:name w:val="Variable"/>
    <w:rPr>
      <w:i/>
    </w:rPr>
  </w:style>
  <w:style w:type="character" w:customStyle="1" w:styleId="HTMLMarkup">
    <w:name w:val="HTML Markup"/>
    <w:rPr>
      <w:vanish/>
      <w:color w:val="FF0000"/>
    </w:rPr>
  </w:style>
  <w:style w:type="character" w:customStyle="1" w:styleId="Comment">
    <w:name w:val="Comment"/>
    <w:rPr>
      <w:vanish/>
    </w:rPr>
  </w:style>
  <w:style w:type="character" w:customStyle="1" w:styleId="SYSHYPERTEXT">
    <w:name w:val="SYS_HYPERTEXT"/>
    <w:rPr>
      <w:color w:val="0000FF"/>
      <w:u w:val="single"/>
    </w:rPr>
  </w:style>
  <w:style w:type="paragraph" w:styleId="Header">
    <w:name w:val="header"/>
    <w:basedOn w:val="Normal"/>
    <w:link w:val="HeaderChar"/>
    <w:uiPriority w:val="99"/>
    <w:unhideWhenUsed/>
    <w:rsid w:val="00374087"/>
    <w:pPr>
      <w:tabs>
        <w:tab w:val="center" w:pos="4680"/>
        <w:tab w:val="right" w:pos="9360"/>
      </w:tabs>
    </w:pPr>
  </w:style>
  <w:style w:type="character" w:customStyle="1" w:styleId="HeaderChar">
    <w:name w:val="Header Char"/>
    <w:link w:val="Header"/>
    <w:uiPriority w:val="99"/>
    <w:rsid w:val="00374087"/>
    <w:rPr>
      <w:sz w:val="24"/>
    </w:rPr>
  </w:style>
  <w:style w:type="paragraph" w:styleId="Footer">
    <w:name w:val="footer"/>
    <w:basedOn w:val="Normal"/>
    <w:link w:val="FooterChar"/>
    <w:uiPriority w:val="99"/>
    <w:unhideWhenUsed/>
    <w:rsid w:val="00374087"/>
    <w:pPr>
      <w:tabs>
        <w:tab w:val="center" w:pos="4680"/>
        <w:tab w:val="right" w:pos="9360"/>
      </w:tabs>
    </w:pPr>
  </w:style>
  <w:style w:type="character" w:customStyle="1" w:styleId="FooterChar">
    <w:name w:val="Footer Char"/>
    <w:link w:val="Footer"/>
    <w:uiPriority w:val="99"/>
    <w:rsid w:val="00374087"/>
    <w:rPr>
      <w:sz w:val="24"/>
    </w:rPr>
  </w:style>
  <w:style w:type="character" w:styleId="CommentReference">
    <w:name w:val="annotation reference"/>
    <w:uiPriority w:val="99"/>
    <w:semiHidden/>
    <w:unhideWhenUsed/>
    <w:rsid w:val="00F23443"/>
    <w:rPr>
      <w:sz w:val="16"/>
      <w:szCs w:val="16"/>
    </w:rPr>
  </w:style>
  <w:style w:type="paragraph" w:styleId="CommentText">
    <w:name w:val="annotation text"/>
    <w:basedOn w:val="Normal"/>
    <w:link w:val="CommentTextChar"/>
    <w:uiPriority w:val="99"/>
    <w:semiHidden/>
    <w:unhideWhenUsed/>
    <w:rsid w:val="00F23443"/>
    <w:rPr>
      <w:sz w:val="20"/>
    </w:rPr>
  </w:style>
  <w:style w:type="character" w:customStyle="1" w:styleId="CommentTextChar">
    <w:name w:val="Comment Text Char"/>
    <w:basedOn w:val="DefaultParagraphFont"/>
    <w:link w:val="CommentText"/>
    <w:uiPriority w:val="99"/>
    <w:semiHidden/>
    <w:rsid w:val="00F23443"/>
  </w:style>
  <w:style w:type="paragraph" w:styleId="CommentSubject">
    <w:name w:val="annotation subject"/>
    <w:basedOn w:val="CommentText"/>
    <w:next w:val="CommentText"/>
    <w:link w:val="CommentSubjectChar"/>
    <w:uiPriority w:val="99"/>
    <w:semiHidden/>
    <w:unhideWhenUsed/>
    <w:rsid w:val="00F23443"/>
    <w:rPr>
      <w:b/>
      <w:bCs/>
    </w:rPr>
  </w:style>
  <w:style w:type="character" w:customStyle="1" w:styleId="CommentSubjectChar">
    <w:name w:val="Comment Subject Char"/>
    <w:link w:val="CommentSubject"/>
    <w:uiPriority w:val="99"/>
    <w:semiHidden/>
    <w:rsid w:val="00F23443"/>
    <w:rPr>
      <w:b/>
      <w:bCs/>
    </w:rPr>
  </w:style>
  <w:style w:type="paragraph" w:styleId="BalloonText">
    <w:name w:val="Balloon Text"/>
    <w:basedOn w:val="Normal"/>
    <w:link w:val="BalloonTextChar"/>
    <w:uiPriority w:val="99"/>
    <w:semiHidden/>
    <w:unhideWhenUsed/>
    <w:rsid w:val="00F23443"/>
    <w:rPr>
      <w:rFonts w:ascii="Segoe UI" w:hAnsi="Segoe UI" w:cs="Segoe UI"/>
      <w:sz w:val="18"/>
      <w:szCs w:val="18"/>
    </w:rPr>
  </w:style>
  <w:style w:type="character" w:customStyle="1" w:styleId="BalloonTextChar">
    <w:name w:val="Balloon Text Char"/>
    <w:link w:val="BalloonText"/>
    <w:uiPriority w:val="99"/>
    <w:semiHidden/>
    <w:rsid w:val="00F23443"/>
    <w:rPr>
      <w:rFonts w:ascii="Segoe UI" w:hAnsi="Segoe UI" w:cs="Segoe UI"/>
      <w:sz w:val="18"/>
      <w:szCs w:val="18"/>
    </w:rPr>
  </w:style>
  <w:style w:type="character" w:customStyle="1" w:styleId="UnresolvedMention1">
    <w:name w:val="Unresolved Mention1"/>
    <w:uiPriority w:val="99"/>
    <w:semiHidden/>
    <w:unhideWhenUsed/>
    <w:rsid w:val="00F23443"/>
    <w:rPr>
      <w:color w:val="605E5C"/>
      <w:shd w:val="clear" w:color="auto" w:fill="E1DFDD"/>
    </w:rPr>
  </w:style>
  <w:style w:type="character" w:styleId="FollowedHyperlink">
    <w:name w:val="FollowedHyperlink"/>
    <w:uiPriority w:val="99"/>
    <w:semiHidden/>
    <w:unhideWhenUsed/>
    <w:rsid w:val="00F23443"/>
    <w:rPr>
      <w:color w:val="954F72"/>
      <w:u w:val="single"/>
    </w:rPr>
  </w:style>
  <w:style w:type="character" w:customStyle="1" w:styleId="UnresolvedMention2">
    <w:name w:val="Unresolved Mention2"/>
    <w:basedOn w:val="DefaultParagraphFont"/>
    <w:uiPriority w:val="99"/>
    <w:semiHidden/>
    <w:unhideWhenUsed/>
    <w:rsid w:val="001E7B2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authors.library.caltech.edu/41226/1/Landsberg%20review%2C%20as%20published.pdf" TargetMode="External"/><Relationship Id="rId18" Type="http://schemas.openxmlformats.org/officeDocument/2006/relationships/hyperlink" Target="https://www.congress.gov/congressional-report/116th-congress/house-report/317/1?q=%7B%22search%22%3A%22Voting+Rights+Advancement+Act%22%7D&amp;r=3&amp;overview=closed"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webSettings" Target="webSettings.xml"/><Relationship Id="rId12" Type="http://schemas.openxmlformats.org/officeDocument/2006/relationships/hyperlink" Target="https://transatlantica.revues.org/7462" TargetMode="External"/><Relationship Id="rId17" Type="http://schemas.openxmlformats.org/officeDocument/2006/relationships/hyperlink" Target="https://www.youtube.com/watch?v=0ot4cm4FR74" TargetMode="External"/><Relationship Id="rId2" Type="http://schemas.openxmlformats.org/officeDocument/2006/relationships/customXml" Target="../customXml/item2.xml"/><Relationship Id="rId16" Type="http://schemas.openxmlformats.org/officeDocument/2006/relationships/hyperlink" Target="http://blogs.reuters.com/great-debate/2013/06/26/gutting-the-landmark-civil-rights-legislation/"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resolver.caltech.edu/CaltechAUTHORS:20200722-095203042" TargetMode="External"/><Relationship Id="rId24"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blogs.reuters.com/great-debate/2013/02/15/the-strong-case-for-keeping-section-5/" TargetMode="External"/><Relationship Id="rId23" Type="http://schemas.openxmlformats.org/officeDocument/2006/relationships/fontTable" Target="fontTable.xml"/><Relationship Id="rId10" Type="http://schemas.openxmlformats.org/officeDocument/2006/relationships/hyperlink" Target="mailto:Kousser@HSS.Caltech.Edu" TargetMode="External"/><Relationship Id="rId19"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networks.h-net.org/node/9997/reviews/10532/kousser-barnes-who-killed-john-clayton-political-violence-and-emergence" TargetMode="External"/><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7EC781ED2C8184F865CA8AC7109F48A" ma:contentTypeVersion="13" ma:contentTypeDescription="Create a new document." ma:contentTypeScope="" ma:versionID="a5ea6bb751dc98eb35724476f9771e60">
  <xsd:schema xmlns:xsd="http://www.w3.org/2001/XMLSchema" xmlns:xs="http://www.w3.org/2001/XMLSchema" xmlns:p="http://schemas.microsoft.com/office/2006/metadata/properties" xmlns:ns3="6e293151-e79a-46ad-82a0-69cd33dbe9f3" xmlns:ns4="2efecb53-1f77-4932-ad32-0e545dadad5a" targetNamespace="http://schemas.microsoft.com/office/2006/metadata/properties" ma:root="true" ma:fieldsID="57f41e6b9da78957e700ff8bbd3a5e50" ns3:_="" ns4:_="">
    <xsd:import namespace="6e293151-e79a-46ad-82a0-69cd33dbe9f3"/>
    <xsd:import namespace="2efecb53-1f77-4932-ad32-0e545dadad5a"/>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EventHashCode" minOccurs="0"/>
                <xsd:element ref="ns4:MediaServiceGenerationTime" minOccurs="0"/>
                <xsd:element ref="ns4:MediaServiceDateTaken" minOccurs="0"/>
                <xsd:element ref="ns4:MediaServiceLocation"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293151-e79a-46ad-82a0-69cd33dbe9f3"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efecb53-1f77-4932-ad32-0e545dadad5a"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0A703AA-2988-4460-B1B8-55FEDDD1DD2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3658E46-95B7-400B-9B0F-94084E602FC6}">
  <ds:schemaRefs>
    <ds:schemaRef ds:uri="http://schemas.microsoft.com/sharepoint/v3/contenttype/forms"/>
  </ds:schemaRefs>
</ds:datastoreItem>
</file>

<file path=customXml/itemProps3.xml><?xml version="1.0" encoding="utf-8"?>
<ds:datastoreItem xmlns:ds="http://schemas.openxmlformats.org/officeDocument/2006/customXml" ds:itemID="{AD733B38-BEEE-4978-A054-A0E2F4B929B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293151-e79a-46ad-82a0-69cd33dbe9f3"/>
    <ds:schemaRef ds:uri="2efecb53-1f77-4932-ad32-0e545dadad5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143</TotalTime>
  <Pages>26</Pages>
  <Words>6958</Words>
  <Characters>39666</Characters>
  <Application>Microsoft Office Word</Application>
  <DocSecurity>0</DocSecurity>
  <Lines>330</Lines>
  <Paragraphs>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46531</CharactersWithSpaces>
  <SharedDoc>false</SharedDoc>
  <HLinks>
    <vt:vector size="54" baseType="variant">
      <vt:variant>
        <vt:i4>6881401</vt:i4>
      </vt:variant>
      <vt:variant>
        <vt:i4>20</vt:i4>
      </vt:variant>
      <vt:variant>
        <vt:i4>0</vt:i4>
      </vt:variant>
      <vt:variant>
        <vt:i4>5</vt:i4>
      </vt:variant>
      <vt:variant>
        <vt:lpwstr>https://www.congress.gov/congressional-report/116th-congress/house-report/317/1?q=%7B%22search%22%3A%22Voting+Rights+Advancement+Act%22%7D&amp;r=3&amp;overview=closed</vt:lpwstr>
      </vt:variant>
      <vt:variant>
        <vt:lpwstr/>
      </vt:variant>
      <vt:variant>
        <vt:i4>3539007</vt:i4>
      </vt:variant>
      <vt:variant>
        <vt:i4>17</vt:i4>
      </vt:variant>
      <vt:variant>
        <vt:i4>0</vt:i4>
      </vt:variant>
      <vt:variant>
        <vt:i4>5</vt:i4>
      </vt:variant>
      <vt:variant>
        <vt:lpwstr>http://blogs.reuters.com/great-debate/2013/06/26/gutting-the-landmark-civil-rights-legislation/</vt:lpwstr>
      </vt:variant>
      <vt:variant>
        <vt:lpwstr/>
      </vt:variant>
      <vt:variant>
        <vt:i4>2687037</vt:i4>
      </vt:variant>
      <vt:variant>
        <vt:i4>14</vt:i4>
      </vt:variant>
      <vt:variant>
        <vt:i4>0</vt:i4>
      </vt:variant>
      <vt:variant>
        <vt:i4>5</vt:i4>
      </vt:variant>
      <vt:variant>
        <vt:lpwstr>http://blogs.reuters.com/great-debate/2013/02/15/the-strong-case-for-keeping-section-5/</vt:lpwstr>
      </vt:variant>
      <vt:variant>
        <vt:lpwstr/>
      </vt:variant>
      <vt:variant>
        <vt:i4>2621567</vt:i4>
      </vt:variant>
      <vt:variant>
        <vt:i4>11</vt:i4>
      </vt:variant>
      <vt:variant>
        <vt:i4>0</vt:i4>
      </vt:variant>
      <vt:variant>
        <vt:i4>5</vt:i4>
      </vt:variant>
      <vt:variant>
        <vt:lpwstr>https://networks.h-net.org/node/9997/reviews/10532/kousser-barnes-who-killed-john-clayton-political-violence-and-emergence</vt:lpwstr>
      </vt:variant>
      <vt:variant>
        <vt:lpwstr/>
      </vt:variant>
      <vt:variant>
        <vt:i4>3145789</vt:i4>
      </vt:variant>
      <vt:variant>
        <vt:i4>8</vt:i4>
      </vt:variant>
      <vt:variant>
        <vt:i4>0</vt:i4>
      </vt:variant>
      <vt:variant>
        <vt:i4>5</vt:i4>
      </vt:variant>
      <vt:variant>
        <vt:lpwstr>http://www2.h-net.msu.edu/reviews/showrev.cqi?path=179141046324369</vt:lpwstr>
      </vt:variant>
      <vt:variant>
        <vt:lpwstr/>
      </vt:variant>
      <vt:variant>
        <vt:i4>7471200</vt:i4>
      </vt:variant>
      <vt:variant>
        <vt:i4>5</vt:i4>
      </vt:variant>
      <vt:variant>
        <vt:i4>0</vt:i4>
      </vt:variant>
      <vt:variant>
        <vt:i4>5</vt:i4>
      </vt:variant>
      <vt:variant>
        <vt:lpwstr>https://transatlantica.revues.org/7462</vt:lpwstr>
      </vt:variant>
      <vt:variant>
        <vt:lpwstr/>
      </vt:variant>
      <vt:variant>
        <vt:i4>7602194</vt:i4>
      </vt:variant>
      <vt:variant>
        <vt:i4>2</vt:i4>
      </vt:variant>
      <vt:variant>
        <vt:i4>0</vt:i4>
      </vt:variant>
      <vt:variant>
        <vt:i4>5</vt:i4>
      </vt:variant>
      <vt:variant>
        <vt:lpwstr>mailto:Kousser@HSS.Caltech.Edu</vt:lpwstr>
      </vt:variant>
      <vt:variant>
        <vt:lpwstr/>
      </vt:variant>
      <vt:variant>
        <vt:i4>7733302</vt:i4>
      </vt:variant>
      <vt:variant>
        <vt:i4>3</vt:i4>
      </vt:variant>
      <vt:variant>
        <vt:i4>0</vt:i4>
      </vt:variant>
      <vt:variant>
        <vt:i4>5</vt:i4>
      </vt:variant>
      <vt:variant>
        <vt:lpwstr>https://networks.h-net.org/node/9997/reviews/10648/kousser-goldman-reconstruction-and-black-suffrage-losing-vote-reese-and</vt:lpwstr>
      </vt:variant>
      <vt:variant>
        <vt:lpwstr/>
      </vt:variant>
      <vt:variant>
        <vt:i4>4784156</vt:i4>
      </vt:variant>
      <vt:variant>
        <vt:i4>0</vt:i4>
      </vt:variant>
      <vt:variant>
        <vt:i4>0</vt:i4>
      </vt:variant>
      <vt:variant>
        <vt:i4>5</vt:i4>
      </vt:variant>
      <vt:variant>
        <vt:lpwstr>https://authors.library.caltech.edu/41226/1/Landsberg review%2C as published.pdf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Morgan Kousser</dc:creator>
  <cp:keywords/>
  <cp:lastModifiedBy>J Morgan Kousser</cp:lastModifiedBy>
  <cp:revision>67</cp:revision>
  <cp:lastPrinted>2018-05-24T19:47:00Z</cp:lastPrinted>
  <dcterms:created xsi:type="dcterms:W3CDTF">2020-02-23T05:59:00Z</dcterms:created>
  <dcterms:modified xsi:type="dcterms:W3CDTF">2024-05-09T01:55:00Z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0x01010097EC781ED2C8184F865CA8AC7109F48A</vt:lpwstr>
  </property>
</Properties>
</file>